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C9EBEF" w14:textId="77777777" w:rsidR="00196689" w:rsidRPr="00A13C71" w:rsidRDefault="00196689" w:rsidP="00673F65">
      <w:pPr>
        <w:jc w:val="center"/>
        <w:rPr>
          <w:rFonts w:ascii="Cambria" w:hAnsi="Cambria"/>
          <w:b/>
          <w:noProof/>
          <w:sz w:val="28"/>
          <w:szCs w:val="28"/>
          <w:lang w:val="sr-Latn-BA"/>
        </w:rPr>
      </w:pPr>
    </w:p>
    <w:p w14:paraId="714E785E" w14:textId="08A32C9D" w:rsidR="00B37944" w:rsidRPr="00A13C71" w:rsidRDefault="00007F24" w:rsidP="00673F65">
      <w:pPr>
        <w:jc w:val="center"/>
        <w:rPr>
          <w:rFonts w:ascii="Cambria" w:hAnsi="Cambria"/>
          <w:b/>
          <w:noProof/>
          <w:sz w:val="28"/>
          <w:szCs w:val="28"/>
          <w:lang w:val="sr-Latn-BA"/>
        </w:rPr>
      </w:pPr>
      <w:r w:rsidRPr="00A13C71">
        <w:rPr>
          <w:rFonts w:ascii="Cambria" w:hAnsi="Cambria"/>
          <w:b/>
          <w:noProof/>
          <w:sz w:val="28"/>
          <w:szCs w:val="28"/>
          <w:lang w:val="sr-Latn-BA"/>
        </w:rPr>
        <w:t xml:space="preserve">OTVORENI </w:t>
      </w:r>
      <w:r w:rsidR="00FF5E1F" w:rsidRPr="00A13C71">
        <w:rPr>
          <w:rFonts w:ascii="Cambria" w:hAnsi="Cambria"/>
          <w:b/>
          <w:noProof/>
          <w:sz w:val="28"/>
          <w:szCs w:val="28"/>
          <w:lang w:val="sr-Latn-BA"/>
        </w:rPr>
        <w:t>AKCIJSKI</w:t>
      </w:r>
      <w:r w:rsidRPr="00A13C71">
        <w:rPr>
          <w:rFonts w:ascii="Cambria" w:hAnsi="Cambria"/>
          <w:b/>
          <w:noProof/>
          <w:sz w:val="28"/>
          <w:szCs w:val="28"/>
          <w:lang w:val="sr-Latn-BA"/>
        </w:rPr>
        <w:t xml:space="preserve"> INVESTICIONI FOND </w:t>
      </w:r>
      <w:r w:rsidR="00FF5E1F" w:rsidRPr="00A13C71">
        <w:rPr>
          <w:rFonts w:ascii="Cambria" w:hAnsi="Cambria"/>
          <w:b/>
          <w:noProof/>
          <w:sz w:val="28"/>
          <w:szCs w:val="28"/>
          <w:lang w:val="sr-Latn-BA"/>
        </w:rPr>
        <w:t>ADRIATIC BALANCED</w:t>
      </w:r>
      <w:r w:rsidRPr="00A13C71">
        <w:rPr>
          <w:rFonts w:ascii="Cambria" w:hAnsi="Cambria"/>
          <w:b/>
          <w:noProof/>
          <w:sz w:val="28"/>
          <w:szCs w:val="28"/>
          <w:lang w:val="sr-Latn-BA"/>
        </w:rPr>
        <w:t xml:space="preserve"> </w:t>
      </w:r>
    </w:p>
    <w:p w14:paraId="6A6C9D0A" w14:textId="77777777" w:rsidR="00B37944" w:rsidRPr="00A13C71" w:rsidRDefault="004D1B30" w:rsidP="004D1B30">
      <w:pPr>
        <w:tabs>
          <w:tab w:val="left" w:pos="4973"/>
        </w:tabs>
        <w:rPr>
          <w:rFonts w:ascii="Cambria" w:hAnsi="Cambria"/>
          <w:noProof/>
          <w:sz w:val="28"/>
          <w:szCs w:val="28"/>
          <w:lang w:val="sr-Latn-BA"/>
        </w:rPr>
      </w:pPr>
      <w:r w:rsidRPr="00A13C71">
        <w:rPr>
          <w:rFonts w:ascii="Cambria" w:hAnsi="Cambria"/>
          <w:noProof/>
          <w:sz w:val="28"/>
          <w:szCs w:val="28"/>
          <w:lang w:val="sr-Latn-BA"/>
        </w:rPr>
        <w:tab/>
      </w:r>
    </w:p>
    <w:p w14:paraId="63D1823D" w14:textId="77777777" w:rsidR="00B37944" w:rsidRPr="00A13C71" w:rsidRDefault="00B37944">
      <w:pPr>
        <w:rPr>
          <w:rFonts w:ascii="Cambria" w:hAnsi="Cambria"/>
          <w:noProof/>
          <w:sz w:val="28"/>
          <w:szCs w:val="28"/>
          <w:lang w:val="sr-Latn-BA"/>
        </w:rPr>
      </w:pPr>
    </w:p>
    <w:p w14:paraId="777E56CB" w14:textId="77777777" w:rsidR="00B37944" w:rsidRPr="00A13C71" w:rsidRDefault="00B37944">
      <w:pPr>
        <w:rPr>
          <w:rFonts w:ascii="Cambria" w:hAnsi="Cambria"/>
          <w:noProof/>
          <w:sz w:val="28"/>
          <w:szCs w:val="28"/>
          <w:lang w:val="sr-Latn-BA"/>
        </w:rPr>
      </w:pPr>
    </w:p>
    <w:p w14:paraId="44D49485" w14:textId="77777777" w:rsidR="00B37944" w:rsidRPr="00A13C71" w:rsidRDefault="00B37944">
      <w:pPr>
        <w:rPr>
          <w:rFonts w:ascii="Cambria" w:hAnsi="Cambria"/>
          <w:noProof/>
          <w:sz w:val="28"/>
          <w:szCs w:val="28"/>
          <w:lang w:val="sr-Latn-BA"/>
        </w:rPr>
      </w:pPr>
    </w:p>
    <w:p w14:paraId="2A528603" w14:textId="77777777" w:rsidR="00B37944" w:rsidRPr="00A13C71" w:rsidRDefault="00B37944">
      <w:pPr>
        <w:rPr>
          <w:rFonts w:ascii="Cambria" w:hAnsi="Cambria"/>
          <w:noProof/>
          <w:sz w:val="28"/>
          <w:szCs w:val="28"/>
          <w:lang w:val="sr-Latn-BA"/>
        </w:rPr>
      </w:pPr>
    </w:p>
    <w:p w14:paraId="3AEBF6CF" w14:textId="77777777" w:rsidR="00B37944" w:rsidRPr="00A13C71" w:rsidRDefault="00B37944">
      <w:pPr>
        <w:rPr>
          <w:rFonts w:ascii="Cambria" w:hAnsi="Cambria"/>
          <w:noProof/>
          <w:sz w:val="28"/>
          <w:szCs w:val="28"/>
          <w:lang w:val="sr-Latn-BA"/>
        </w:rPr>
      </w:pPr>
    </w:p>
    <w:p w14:paraId="09683540" w14:textId="77777777" w:rsidR="00B37944" w:rsidRPr="00A13C71" w:rsidRDefault="00B37944">
      <w:pPr>
        <w:rPr>
          <w:rFonts w:ascii="Cambria" w:hAnsi="Cambria"/>
          <w:noProof/>
          <w:sz w:val="28"/>
          <w:szCs w:val="28"/>
          <w:lang w:val="sr-Latn-BA"/>
        </w:rPr>
      </w:pPr>
    </w:p>
    <w:p w14:paraId="7DCF87C0" w14:textId="77777777" w:rsidR="00B37944" w:rsidRPr="00A13C71" w:rsidRDefault="00B37944">
      <w:pPr>
        <w:rPr>
          <w:rFonts w:ascii="Cambria" w:hAnsi="Cambria"/>
          <w:noProof/>
          <w:sz w:val="28"/>
          <w:szCs w:val="28"/>
          <w:lang w:val="sr-Latn-BA"/>
        </w:rPr>
      </w:pPr>
    </w:p>
    <w:p w14:paraId="1D97D719" w14:textId="77777777" w:rsidR="00B37944" w:rsidRPr="00A13C71" w:rsidRDefault="00B37944">
      <w:pPr>
        <w:rPr>
          <w:rFonts w:ascii="Cambria" w:hAnsi="Cambria"/>
          <w:noProof/>
          <w:sz w:val="28"/>
          <w:szCs w:val="28"/>
          <w:lang w:val="sr-Latn-BA"/>
        </w:rPr>
      </w:pPr>
    </w:p>
    <w:p w14:paraId="6523A7C8" w14:textId="77777777" w:rsidR="00B37944" w:rsidRPr="00A13C71" w:rsidRDefault="00B37944">
      <w:pPr>
        <w:rPr>
          <w:rFonts w:ascii="Cambria" w:hAnsi="Cambria"/>
          <w:noProof/>
          <w:sz w:val="28"/>
          <w:szCs w:val="28"/>
          <w:lang w:val="sr-Latn-BA"/>
        </w:rPr>
      </w:pPr>
    </w:p>
    <w:p w14:paraId="23E88B5C" w14:textId="77777777" w:rsidR="00B37944" w:rsidRPr="00A13C71" w:rsidRDefault="00B37944">
      <w:pPr>
        <w:rPr>
          <w:rFonts w:ascii="Cambria" w:hAnsi="Cambria"/>
          <w:noProof/>
          <w:sz w:val="28"/>
          <w:szCs w:val="28"/>
          <w:lang w:val="sr-Latn-BA"/>
        </w:rPr>
      </w:pPr>
    </w:p>
    <w:p w14:paraId="2B370AE3" w14:textId="77777777" w:rsidR="00B37944" w:rsidRPr="00A13C71" w:rsidRDefault="00B37944">
      <w:pPr>
        <w:rPr>
          <w:rFonts w:ascii="Cambria" w:hAnsi="Cambria"/>
          <w:noProof/>
          <w:sz w:val="28"/>
          <w:szCs w:val="28"/>
          <w:lang w:val="sr-Latn-BA"/>
        </w:rPr>
      </w:pPr>
    </w:p>
    <w:p w14:paraId="79A95E5C" w14:textId="77777777" w:rsidR="00B37944" w:rsidRPr="00A13C71" w:rsidRDefault="00B37944">
      <w:pPr>
        <w:rPr>
          <w:rFonts w:ascii="Cambria" w:hAnsi="Cambria"/>
          <w:noProof/>
          <w:sz w:val="28"/>
          <w:szCs w:val="28"/>
          <w:lang w:val="sr-Latn-BA"/>
        </w:rPr>
      </w:pPr>
    </w:p>
    <w:p w14:paraId="7195DC97" w14:textId="77777777" w:rsidR="00B37944" w:rsidRPr="00A13C71" w:rsidRDefault="00B37944">
      <w:pPr>
        <w:rPr>
          <w:rFonts w:ascii="Cambria" w:hAnsi="Cambria"/>
          <w:noProof/>
          <w:sz w:val="28"/>
          <w:szCs w:val="28"/>
          <w:lang w:val="sr-Latn-BA"/>
        </w:rPr>
      </w:pPr>
    </w:p>
    <w:p w14:paraId="1D3C7FB9" w14:textId="77777777" w:rsidR="00B37944" w:rsidRPr="00A13C71" w:rsidRDefault="00B37944">
      <w:pPr>
        <w:rPr>
          <w:rFonts w:ascii="Cambria" w:hAnsi="Cambria"/>
          <w:noProof/>
          <w:sz w:val="28"/>
          <w:szCs w:val="28"/>
          <w:lang w:val="sr-Latn-BA"/>
        </w:rPr>
      </w:pPr>
    </w:p>
    <w:p w14:paraId="34FCA138" w14:textId="77777777" w:rsidR="00B37944" w:rsidRPr="00A13C71" w:rsidRDefault="00B37944">
      <w:pPr>
        <w:rPr>
          <w:rFonts w:ascii="Cambria" w:hAnsi="Cambria"/>
          <w:noProof/>
          <w:sz w:val="28"/>
          <w:szCs w:val="28"/>
          <w:lang w:val="sr-Latn-BA"/>
        </w:rPr>
      </w:pPr>
    </w:p>
    <w:p w14:paraId="5AC19FFC" w14:textId="77777777" w:rsidR="00B37944" w:rsidRPr="00A13C71" w:rsidRDefault="00B37944">
      <w:pPr>
        <w:rPr>
          <w:rFonts w:ascii="Cambria" w:hAnsi="Cambria"/>
          <w:noProof/>
          <w:sz w:val="28"/>
          <w:szCs w:val="28"/>
          <w:lang w:val="sr-Latn-BA"/>
        </w:rPr>
      </w:pPr>
    </w:p>
    <w:p w14:paraId="51235AB1" w14:textId="77777777" w:rsidR="00B37944" w:rsidRPr="00A13C71" w:rsidRDefault="00B37944">
      <w:pPr>
        <w:rPr>
          <w:rFonts w:ascii="Cambria" w:hAnsi="Cambria"/>
          <w:b/>
          <w:noProof/>
          <w:sz w:val="28"/>
          <w:szCs w:val="28"/>
          <w:lang w:val="sr-Latn-BA"/>
        </w:rPr>
      </w:pPr>
    </w:p>
    <w:p w14:paraId="545B1177" w14:textId="77777777" w:rsidR="0098067F" w:rsidRPr="00A13C71" w:rsidRDefault="00DB7F35" w:rsidP="00D92A49">
      <w:pPr>
        <w:jc w:val="center"/>
        <w:rPr>
          <w:rFonts w:ascii="Cambria" w:hAnsi="Cambria"/>
          <w:b/>
          <w:i/>
          <w:iCs/>
          <w:noProof/>
          <w:sz w:val="28"/>
          <w:szCs w:val="28"/>
          <w:lang w:val="sr-Latn-BA"/>
        </w:rPr>
      </w:pPr>
      <w:r w:rsidRPr="00A13C71">
        <w:rPr>
          <w:rFonts w:ascii="Cambria" w:hAnsi="Cambria"/>
          <w:b/>
          <w:i/>
          <w:iCs/>
          <w:noProof/>
          <w:sz w:val="28"/>
          <w:szCs w:val="28"/>
          <w:lang w:val="sr-Latn-BA"/>
        </w:rPr>
        <w:t>NAPOMENE</w:t>
      </w:r>
    </w:p>
    <w:p w14:paraId="28199A3E" w14:textId="77777777" w:rsidR="0033759C" w:rsidRPr="00A13C71" w:rsidRDefault="00DD3A57" w:rsidP="00D92A49">
      <w:pPr>
        <w:jc w:val="center"/>
        <w:rPr>
          <w:rFonts w:ascii="Cambria" w:hAnsi="Cambria"/>
          <w:b/>
          <w:i/>
          <w:iCs/>
          <w:noProof/>
          <w:sz w:val="28"/>
          <w:szCs w:val="28"/>
          <w:lang w:val="sr-Latn-BA"/>
        </w:rPr>
      </w:pPr>
      <w:r w:rsidRPr="00A13C71">
        <w:rPr>
          <w:rFonts w:ascii="Cambria" w:hAnsi="Cambria"/>
          <w:b/>
          <w:i/>
          <w:iCs/>
          <w:noProof/>
          <w:sz w:val="28"/>
          <w:szCs w:val="28"/>
          <w:lang w:val="sr-Latn-BA"/>
        </w:rPr>
        <w:t xml:space="preserve"> uz finansijske izvještaje </w:t>
      </w:r>
      <w:r w:rsidR="00FF5E1F" w:rsidRPr="00A13C71">
        <w:rPr>
          <w:rFonts w:ascii="Cambria" w:hAnsi="Cambria"/>
          <w:b/>
          <w:i/>
          <w:iCs/>
          <w:noProof/>
          <w:sz w:val="28"/>
          <w:szCs w:val="28"/>
          <w:lang w:val="sr-Latn-BA"/>
        </w:rPr>
        <w:t>OA</w:t>
      </w:r>
      <w:r w:rsidR="00007F24" w:rsidRPr="00A13C71">
        <w:rPr>
          <w:rFonts w:ascii="Cambria" w:hAnsi="Cambria"/>
          <w:b/>
          <w:i/>
          <w:iCs/>
          <w:noProof/>
          <w:sz w:val="28"/>
          <w:szCs w:val="28"/>
          <w:lang w:val="sr-Latn-BA"/>
        </w:rPr>
        <w:t>IF</w:t>
      </w:r>
      <w:r w:rsidRPr="00A13C71">
        <w:rPr>
          <w:rFonts w:ascii="Cambria" w:hAnsi="Cambria"/>
          <w:b/>
          <w:i/>
          <w:iCs/>
          <w:noProof/>
          <w:sz w:val="28"/>
          <w:szCs w:val="28"/>
          <w:lang w:val="sr-Latn-BA"/>
        </w:rPr>
        <w:t xml:space="preserve">-a </w:t>
      </w:r>
      <w:r w:rsidR="00FF5E1F" w:rsidRPr="00A13C71">
        <w:rPr>
          <w:rFonts w:ascii="Cambria" w:hAnsi="Cambria"/>
          <w:b/>
          <w:i/>
          <w:iCs/>
          <w:noProof/>
          <w:sz w:val="28"/>
          <w:szCs w:val="28"/>
          <w:lang w:val="sr-Latn-BA"/>
        </w:rPr>
        <w:t>Adriatic Balanced</w:t>
      </w:r>
      <w:r w:rsidR="004E3F72" w:rsidRPr="00A13C71">
        <w:rPr>
          <w:rFonts w:ascii="Cambria" w:hAnsi="Cambria"/>
          <w:b/>
          <w:i/>
          <w:iCs/>
          <w:noProof/>
          <w:sz w:val="28"/>
          <w:szCs w:val="28"/>
          <w:lang w:val="sr-Latn-BA"/>
        </w:rPr>
        <w:t xml:space="preserve"> </w:t>
      </w:r>
    </w:p>
    <w:p w14:paraId="44B9E1EA" w14:textId="02A6C2BD" w:rsidR="00B37944" w:rsidRPr="00A13C71" w:rsidRDefault="004E3F72" w:rsidP="00D92A49">
      <w:pPr>
        <w:jc w:val="center"/>
        <w:rPr>
          <w:rFonts w:ascii="Cambria" w:hAnsi="Cambria"/>
          <w:b/>
          <w:i/>
          <w:iCs/>
          <w:noProof/>
          <w:sz w:val="28"/>
          <w:szCs w:val="28"/>
          <w:lang w:val="sr-Latn-BA"/>
        </w:rPr>
      </w:pPr>
      <w:r w:rsidRPr="00A13C71">
        <w:rPr>
          <w:rFonts w:ascii="Cambria" w:hAnsi="Cambria"/>
          <w:b/>
          <w:i/>
          <w:iCs/>
          <w:noProof/>
          <w:sz w:val="28"/>
          <w:szCs w:val="28"/>
          <w:lang w:val="sr-Latn-BA"/>
        </w:rPr>
        <w:t xml:space="preserve">za period od </w:t>
      </w:r>
      <w:r w:rsidR="0033759C" w:rsidRPr="00A13C71">
        <w:rPr>
          <w:rFonts w:ascii="Cambria" w:hAnsi="Cambria"/>
          <w:b/>
          <w:i/>
          <w:iCs/>
          <w:noProof/>
          <w:sz w:val="28"/>
          <w:szCs w:val="28"/>
          <w:lang w:val="sr-Latn-BA"/>
        </w:rPr>
        <w:t>01.01.-3</w:t>
      </w:r>
      <w:r w:rsidR="00345B0D">
        <w:rPr>
          <w:rFonts w:ascii="Cambria" w:hAnsi="Cambria"/>
          <w:b/>
          <w:i/>
          <w:iCs/>
          <w:noProof/>
          <w:sz w:val="28"/>
          <w:szCs w:val="28"/>
          <w:lang w:val="sr-Latn-BA"/>
        </w:rPr>
        <w:t>1</w:t>
      </w:r>
      <w:r w:rsidR="0033759C" w:rsidRPr="00A13C71">
        <w:rPr>
          <w:rFonts w:ascii="Cambria" w:hAnsi="Cambria"/>
          <w:b/>
          <w:i/>
          <w:iCs/>
          <w:noProof/>
          <w:sz w:val="28"/>
          <w:szCs w:val="28"/>
          <w:lang w:val="sr-Latn-BA"/>
        </w:rPr>
        <w:t>.</w:t>
      </w:r>
      <w:r w:rsidR="00345B0D">
        <w:rPr>
          <w:rFonts w:ascii="Cambria" w:hAnsi="Cambria"/>
          <w:b/>
          <w:i/>
          <w:iCs/>
          <w:noProof/>
          <w:sz w:val="28"/>
          <w:szCs w:val="28"/>
          <w:lang w:val="sr-Latn-BA"/>
        </w:rPr>
        <w:t>12</w:t>
      </w:r>
      <w:r w:rsidR="0033759C" w:rsidRPr="00A13C71">
        <w:rPr>
          <w:rFonts w:ascii="Cambria" w:hAnsi="Cambria"/>
          <w:b/>
          <w:i/>
          <w:iCs/>
          <w:noProof/>
          <w:sz w:val="28"/>
          <w:szCs w:val="28"/>
          <w:lang w:val="sr-Latn-BA"/>
        </w:rPr>
        <w:t>.20</w:t>
      </w:r>
      <w:r w:rsidR="00DA78E7" w:rsidRPr="00A13C71">
        <w:rPr>
          <w:rFonts w:ascii="Cambria" w:hAnsi="Cambria"/>
          <w:b/>
          <w:i/>
          <w:iCs/>
          <w:noProof/>
          <w:sz w:val="28"/>
          <w:szCs w:val="28"/>
          <w:lang w:val="sr-Latn-BA"/>
        </w:rPr>
        <w:t>2</w:t>
      </w:r>
      <w:r w:rsidR="00345056">
        <w:rPr>
          <w:rFonts w:ascii="Cambria" w:hAnsi="Cambria"/>
          <w:b/>
          <w:i/>
          <w:iCs/>
          <w:noProof/>
          <w:sz w:val="28"/>
          <w:szCs w:val="28"/>
          <w:lang w:val="sr-Latn-BA"/>
        </w:rPr>
        <w:t>3</w:t>
      </w:r>
      <w:r w:rsidR="0033759C" w:rsidRPr="00A13C71">
        <w:rPr>
          <w:rFonts w:ascii="Cambria" w:hAnsi="Cambria"/>
          <w:b/>
          <w:i/>
          <w:iCs/>
          <w:noProof/>
          <w:sz w:val="28"/>
          <w:szCs w:val="28"/>
          <w:lang w:val="sr-Latn-BA"/>
        </w:rPr>
        <w:t>.</w:t>
      </w:r>
      <w:r w:rsidR="00DD3A57" w:rsidRPr="00A13C71">
        <w:rPr>
          <w:rFonts w:ascii="Cambria" w:hAnsi="Cambria"/>
          <w:b/>
          <w:i/>
          <w:iCs/>
          <w:noProof/>
          <w:sz w:val="28"/>
          <w:szCs w:val="28"/>
          <w:lang w:val="sr-Latn-BA"/>
        </w:rPr>
        <w:t xml:space="preserve"> godine</w:t>
      </w:r>
    </w:p>
    <w:p w14:paraId="2A1CA620" w14:textId="77777777" w:rsidR="00B37944" w:rsidRPr="00A13C71" w:rsidRDefault="00B37944" w:rsidP="00B37944">
      <w:pPr>
        <w:jc w:val="center"/>
        <w:rPr>
          <w:rFonts w:asciiTheme="majorHAnsi" w:hAnsiTheme="majorHAnsi"/>
          <w:i/>
          <w:iCs/>
          <w:noProof/>
          <w:sz w:val="22"/>
          <w:szCs w:val="22"/>
          <w:lang w:val="sr-Latn-BA"/>
        </w:rPr>
      </w:pPr>
    </w:p>
    <w:p w14:paraId="281DE47B" w14:textId="77777777" w:rsidR="00B37944" w:rsidRPr="00A13C71" w:rsidRDefault="00B37944" w:rsidP="00B37944">
      <w:pPr>
        <w:jc w:val="center"/>
        <w:rPr>
          <w:rFonts w:asciiTheme="majorHAnsi" w:hAnsiTheme="majorHAnsi"/>
          <w:noProof/>
          <w:sz w:val="22"/>
          <w:szCs w:val="22"/>
          <w:lang w:val="sr-Latn-BA"/>
        </w:rPr>
      </w:pPr>
    </w:p>
    <w:p w14:paraId="1DD307C5" w14:textId="77777777" w:rsidR="00B37944" w:rsidRPr="00A13C71" w:rsidRDefault="00B37944" w:rsidP="00B37944">
      <w:pPr>
        <w:jc w:val="center"/>
        <w:rPr>
          <w:rFonts w:asciiTheme="majorHAnsi" w:hAnsiTheme="majorHAnsi"/>
          <w:noProof/>
          <w:sz w:val="22"/>
          <w:szCs w:val="22"/>
          <w:lang w:val="sr-Latn-BA"/>
        </w:rPr>
      </w:pPr>
    </w:p>
    <w:p w14:paraId="43DDD62D" w14:textId="77777777" w:rsidR="00B37944" w:rsidRPr="00A13C71" w:rsidRDefault="00B37944" w:rsidP="00B37944">
      <w:pPr>
        <w:jc w:val="center"/>
        <w:rPr>
          <w:rFonts w:asciiTheme="majorHAnsi" w:hAnsiTheme="majorHAnsi"/>
          <w:noProof/>
          <w:sz w:val="22"/>
          <w:szCs w:val="22"/>
          <w:lang w:val="sr-Latn-BA"/>
        </w:rPr>
      </w:pPr>
    </w:p>
    <w:p w14:paraId="306E4C5F" w14:textId="77777777" w:rsidR="00B37944" w:rsidRPr="00A13C71" w:rsidRDefault="00B37944" w:rsidP="00B37944">
      <w:pPr>
        <w:jc w:val="center"/>
        <w:rPr>
          <w:rFonts w:asciiTheme="majorHAnsi" w:hAnsiTheme="majorHAnsi"/>
          <w:noProof/>
          <w:sz w:val="22"/>
          <w:szCs w:val="22"/>
          <w:lang w:val="sr-Latn-BA"/>
        </w:rPr>
      </w:pPr>
    </w:p>
    <w:p w14:paraId="1274B20E" w14:textId="77777777" w:rsidR="00B37944" w:rsidRPr="00A13C71" w:rsidRDefault="00B37944" w:rsidP="00B37944">
      <w:pPr>
        <w:jc w:val="center"/>
        <w:rPr>
          <w:rFonts w:asciiTheme="majorHAnsi" w:hAnsiTheme="majorHAnsi"/>
          <w:noProof/>
          <w:sz w:val="22"/>
          <w:szCs w:val="22"/>
          <w:lang w:val="sr-Latn-BA"/>
        </w:rPr>
      </w:pPr>
    </w:p>
    <w:p w14:paraId="21DF78E3" w14:textId="77777777" w:rsidR="00B37944" w:rsidRPr="00A13C71" w:rsidRDefault="00B37944" w:rsidP="00B37944">
      <w:pPr>
        <w:jc w:val="both"/>
        <w:rPr>
          <w:rFonts w:asciiTheme="majorHAnsi" w:hAnsiTheme="majorHAnsi"/>
          <w:noProof/>
          <w:sz w:val="22"/>
          <w:szCs w:val="22"/>
          <w:lang w:val="sr-Latn-BA"/>
        </w:rPr>
      </w:pPr>
    </w:p>
    <w:p w14:paraId="152D5FFA" w14:textId="77777777" w:rsidR="00B37944" w:rsidRPr="00A13C71" w:rsidRDefault="00B37944" w:rsidP="00B37944">
      <w:pPr>
        <w:jc w:val="both"/>
        <w:rPr>
          <w:rFonts w:asciiTheme="majorHAnsi" w:hAnsiTheme="majorHAnsi"/>
          <w:noProof/>
          <w:sz w:val="22"/>
          <w:szCs w:val="22"/>
          <w:lang w:val="sr-Latn-BA"/>
        </w:rPr>
      </w:pPr>
    </w:p>
    <w:p w14:paraId="08C7C68D" w14:textId="77777777" w:rsidR="00B37944" w:rsidRPr="00A13C71" w:rsidRDefault="00B37944" w:rsidP="00B37944">
      <w:pPr>
        <w:jc w:val="both"/>
        <w:rPr>
          <w:rFonts w:asciiTheme="majorHAnsi" w:hAnsiTheme="majorHAnsi"/>
          <w:noProof/>
          <w:sz w:val="22"/>
          <w:szCs w:val="22"/>
          <w:lang w:val="sr-Latn-BA"/>
        </w:rPr>
      </w:pPr>
    </w:p>
    <w:p w14:paraId="7318C2B2" w14:textId="77777777" w:rsidR="00B37944" w:rsidRPr="00A13C71" w:rsidRDefault="00B37944" w:rsidP="00B37944">
      <w:pPr>
        <w:jc w:val="both"/>
        <w:rPr>
          <w:rFonts w:asciiTheme="majorHAnsi" w:hAnsiTheme="majorHAnsi"/>
          <w:noProof/>
          <w:sz w:val="22"/>
          <w:szCs w:val="22"/>
          <w:lang w:val="sr-Latn-BA"/>
        </w:rPr>
      </w:pPr>
    </w:p>
    <w:p w14:paraId="17F21EB4" w14:textId="77777777" w:rsidR="00B37944" w:rsidRPr="00A13C71" w:rsidRDefault="00B37944" w:rsidP="00B37944">
      <w:pPr>
        <w:jc w:val="both"/>
        <w:rPr>
          <w:rFonts w:asciiTheme="majorHAnsi" w:hAnsiTheme="majorHAnsi"/>
          <w:noProof/>
          <w:sz w:val="22"/>
          <w:szCs w:val="22"/>
          <w:lang w:val="sr-Latn-BA"/>
        </w:rPr>
      </w:pPr>
    </w:p>
    <w:p w14:paraId="3E909291" w14:textId="77777777" w:rsidR="00B37944" w:rsidRPr="00A13C71" w:rsidRDefault="00B37944" w:rsidP="00B37944">
      <w:pPr>
        <w:jc w:val="both"/>
        <w:rPr>
          <w:rFonts w:asciiTheme="majorHAnsi" w:hAnsiTheme="majorHAnsi"/>
          <w:noProof/>
          <w:sz w:val="22"/>
          <w:szCs w:val="22"/>
          <w:lang w:val="sr-Latn-BA"/>
        </w:rPr>
      </w:pPr>
    </w:p>
    <w:p w14:paraId="4B53A0D6" w14:textId="77777777" w:rsidR="00B37944" w:rsidRPr="00A13C71" w:rsidRDefault="00B37944" w:rsidP="00B37944">
      <w:pPr>
        <w:jc w:val="both"/>
        <w:rPr>
          <w:rFonts w:asciiTheme="majorHAnsi" w:hAnsiTheme="majorHAnsi"/>
          <w:noProof/>
          <w:sz w:val="22"/>
          <w:szCs w:val="22"/>
          <w:lang w:val="sr-Latn-BA"/>
        </w:rPr>
      </w:pPr>
    </w:p>
    <w:p w14:paraId="624E1B9D" w14:textId="77777777" w:rsidR="00B37944" w:rsidRPr="00A13C71" w:rsidRDefault="00B37944" w:rsidP="00B37944">
      <w:pPr>
        <w:jc w:val="both"/>
        <w:rPr>
          <w:rFonts w:asciiTheme="majorHAnsi" w:hAnsiTheme="majorHAnsi"/>
          <w:noProof/>
          <w:sz w:val="22"/>
          <w:szCs w:val="22"/>
          <w:lang w:val="sr-Latn-BA"/>
        </w:rPr>
      </w:pPr>
    </w:p>
    <w:p w14:paraId="6986491F" w14:textId="77777777" w:rsidR="00B37944" w:rsidRPr="00A13C71" w:rsidRDefault="00B37944" w:rsidP="00B37944">
      <w:pPr>
        <w:jc w:val="both"/>
        <w:rPr>
          <w:rFonts w:asciiTheme="majorHAnsi" w:hAnsiTheme="majorHAnsi"/>
          <w:noProof/>
          <w:sz w:val="22"/>
          <w:szCs w:val="22"/>
          <w:lang w:val="sr-Latn-BA"/>
        </w:rPr>
      </w:pPr>
    </w:p>
    <w:p w14:paraId="5FB02A76" w14:textId="77777777" w:rsidR="00B37944" w:rsidRPr="00A13C71" w:rsidRDefault="00B37944" w:rsidP="00B37944">
      <w:pPr>
        <w:jc w:val="both"/>
        <w:rPr>
          <w:rFonts w:asciiTheme="majorHAnsi" w:hAnsiTheme="majorHAnsi"/>
          <w:noProof/>
          <w:sz w:val="22"/>
          <w:szCs w:val="22"/>
          <w:lang w:val="sr-Latn-BA"/>
        </w:rPr>
      </w:pPr>
    </w:p>
    <w:p w14:paraId="0459E8E8" w14:textId="77777777" w:rsidR="00B37944" w:rsidRPr="00A13C71" w:rsidRDefault="00B37944" w:rsidP="00B37944">
      <w:pPr>
        <w:jc w:val="both"/>
        <w:rPr>
          <w:rFonts w:asciiTheme="majorHAnsi" w:hAnsiTheme="majorHAnsi"/>
          <w:noProof/>
          <w:sz w:val="22"/>
          <w:szCs w:val="22"/>
          <w:lang w:val="sr-Latn-BA"/>
        </w:rPr>
      </w:pPr>
    </w:p>
    <w:p w14:paraId="0848BF50" w14:textId="77777777" w:rsidR="00B37944" w:rsidRPr="00A13C71" w:rsidRDefault="00B37944" w:rsidP="00B37944">
      <w:pPr>
        <w:jc w:val="both"/>
        <w:rPr>
          <w:rFonts w:asciiTheme="majorHAnsi" w:hAnsiTheme="majorHAnsi"/>
          <w:b/>
          <w:noProof/>
          <w:sz w:val="22"/>
          <w:szCs w:val="22"/>
          <w:lang w:val="sr-Latn-BA"/>
        </w:rPr>
      </w:pPr>
    </w:p>
    <w:p w14:paraId="69E007EC" w14:textId="77777777" w:rsidR="00B37944" w:rsidRPr="00A13C71" w:rsidRDefault="00B37944" w:rsidP="00B37944">
      <w:pPr>
        <w:jc w:val="center"/>
        <w:rPr>
          <w:rFonts w:ascii="Cambria" w:hAnsi="Cambria"/>
          <w:noProof/>
          <w:sz w:val="22"/>
          <w:szCs w:val="22"/>
          <w:lang w:val="sr-Latn-BA"/>
        </w:rPr>
      </w:pPr>
    </w:p>
    <w:p w14:paraId="529CDAD9" w14:textId="072C66AD" w:rsidR="00F87CF5" w:rsidRPr="00A13C71" w:rsidRDefault="00506F62">
      <w:pPr>
        <w:rPr>
          <w:rFonts w:ascii="Cambria" w:hAnsi="Cambria"/>
          <w:noProof/>
          <w:sz w:val="22"/>
          <w:szCs w:val="22"/>
          <w:lang w:val="sr-Latn-BA"/>
        </w:rPr>
      </w:pPr>
      <w:r w:rsidRPr="00A13C71">
        <w:rPr>
          <w:rFonts w:ascii="Cambria" w:hAnsi="Cambria"/>
          <w:noProof/>
          <w:sz w:val="22"/>
          <w:szCs w:val="22"/>
          <w:lang w:val="sr-Latn-BA"/>
        </w:rPr>
        <w:t>Banja Luka,</w:t>
      </w:r>
      <w:r w:rsidR="001A0CF3">
        <w:rPr>
          <w:rFonts w:ascii="Cambria" w:hAnsi="Cambria"/>
          <w:noProof/>
          <w:sz w:val="22"/>
          <w:szCs w:val="22"/>
          <w:lang w:val="sr-Latn-BA"/>
        </w:rPr>
        <w:t xml:space="preserve"> </w:t>
      </w:r>
      <w:r w:rsidR="00345B0D">
        <w:rPr>
          <w:rFonts w:ascii="Cambria" w:hAnsi="Cambria"/>
          <w:noProof/>
          <w:sz w:val="22"/>
          <w:szCs w:val="22"/>
          <w:lang w:val="sr-Latn-BA"/>
        </w:rPr>
        <w:t>februar</w:t>
      </w:r>
      <w:r w:rsidR="00FF5E1F" w:rsidRPr="00A13C71">
        <w:rPr>
          <w:rFonts w:ascii="Cambria" w:hAnsi="Cambria"/>
          <w:noProof/>
          <w:sz w:val="22"/>
          <w:szCs w:val="22"/>
          <w:lang w:val="sr-Latn-BA"/>
        </w:rPr>
        <w:t xml:space="preserve"> 20</w:t>
      </w:r>
      <w:r w:rsidR="00DA78E7" w:rsidRPr="00A13C71">
        <w:rPr>
          <w:rFonts w:ascii="Cambria" w:hAnsi="Cambria"/>
          <w:noProof/>
          <w:sz w:val="22"/>
          <w:szCs w:val="22"/>
          <w:lang w:val="sr-Latn-BA"/>
        </w:rPr>
        <w:t>2</w:t>
      </w:r>
      <w:r w:rsidR="00345B0D">
        <w:rPr>
          <w:rFonts w:ascii="Cambria" w:hAnsi="Cambria"/>
          <w:noProof/>
          <w:sz w:val="22"/>
          <w:szCs w:val="22"/>
          <w:lang w:val="sr-Latn-BA"/>
        </w:rPr>
        <w:t>4</w:t>
      </w:r>
      <w:r w:rsidR="00B75BE9" w:rsidRPr="00A13C71">
        <w:rPr>
          <w:rFonts w:ascii="Cambria" w:hAnsi="Cambria"/>
          <w:noProof/>
          <w:sz w:val="22"/>
          <w:szCs w:val="22"/>
          <w:lang w:val="sr-Latn-BA"/>
        </w:rPr>
        <w:t>. godine</w:t>
      </w:r>
    </w:p>
    <w:p w14:paraId="3E2D2DF1" w14:textId="66485F13" w:rsidR="00CF531E" w:rsidRPr="00A13C71" w:rsidRDefault="00CF531E">
      <w:pPr>
        <w:rPr>
          <w:rFonts w:ascii="Cambria" w:hAnsi="Cambria"/>
          <w:noProof/>
          <w:sz w:val="22"/>
          <w:szCs w:val="22"/>
          <w:lang w:val="sr-Latn-BA"/>
        </w:rPr>
      </w:pPr>
    </w:p>
    <w:p w14:paraId="017444A8" w14:textId="77777777" w:rsidR="00CF531E" w:rsidRPr="00A13C71" w:rsidRDefault="00CF531E">
      <w:pPr>
        <w:rPr>
          <w:rFonts w:ascii="Cambria" w:hAnsi="Cambria"/>
          <w:noProof/>
          <w:sz w:val="22"/>
          <w:szCs w:val="22"/>
          <w:lang w:val="sr-Latn-BA"/>
        </w:rPr>
      </w:pPr>
    </w:p>
    <w:p w14:paraId="6684A92C" w14:textId="35074ACE" w:rsidR="00CC43D6" w:rsidRPr="00A13C71" w:rsidRDefault="008E2954" w:rsidP="0033759C">
      <w:pPr>
        <w:pStyle w:val="Heading1"/>
        <w:numPr>
          <w:ilvl w:val="0"/>
          <w:numId w:val="14"/>
        </w:numPr>
        <w:rPr>
          <w:rFonts w:ascii="Cambria" w:hAnsi="Cambria"/>
          <w:noProof/>
          <w:sz w:val="22"/>
          <w:szCs w:val="22"/>
          <w:lang w:val="sr-Latn-BA"/>
        </w:rPr>
      </w:pPr>
      <w:r w:rsidRPr="00A13C71">
        <w:rPr>
          <w:rFonts w:ascii="Cambria" w:hAnsi="Cambria"/>
          <w:noProof/>
          <w:sz w:val="22"/>
          <w:szCs w:val="22"/>
          <w:lang w:val="sr-Latn-BA"/>
        </w:rPr>
        <w:lastRenderedPageBreak/>
        <w:t xml:space="preserve">OSNOVNI PODACI </w:t>
      </w:r>
    </w:p>
    <w:p w14:paraId="73CD9893" w14:textId="77777777" w:rsidR="00055F25" w:rsidRPr="00A13C71" w:rsidRDefault="00055F25" w:rsidP="00055F25">
      <w:pPr>
        <w:rPr>
          <w:noProof/>
          <w:lang w:val="sr-Latn-BA"/>
        </w:rPr>
      </w:pPr>
    </w:p>
    <w:p w14:paraId="0A5ADDDF" w14:textId="77777777" w:rsidR="002764ED" w:rsidRPr="00A13C71" w:rsidRDefault="002764ED" w:rsidP="0067511A">
      <w:pPr>
        <w:ind w:firstLine="405"/>
        <w:jc w:val="both"/>
        <w:rPr>
          <w:rFonts w:ascii="Cambria" w:hAnsi="Cambria"/>
          <w:noProof/>
          <w:sz w:val="22"/>
          <w:szCs w:val="22"/>
          <w:lang w:val="sr-Latn-BA"/>
        </w:rPr>
      </w:pPr>
      <w:r w:rsidRPr="00A13C71">
        <w:rPr>
          <w:rFonts w:ascii="Cambria" w:hAnsi="Cambria"/>
          <w:noProof/>
          <w:sz w:val="22"/>
          <w:szCs w:val="22"/>
          <w:lang w:val="sr-Latn-BA"/>
        </w:rPr>
        <w:t xml:space="preserve">Rješenjem Komisije za hartije od vrijednosti Republike Srpske Broj: 01-UP-51-104-4/18 odobreno je djelimično preoblikovanje AZIF-a u preoblikovanju „Polara Invest Fond“ a.d. Banja Luka. Datim rješenjem Društvu je odobreno izdvajanje dijela imovine radi osnivanja Otvorenog akcijskog investicionog fonda Adriatic Balanced </w:t>
      </w:r>
      <w:r w:rsidR="004611F5" w:rsidRPr="00A13C71">
        <w:rPr>
          <w:rFonts w:ascii="Cambria" w:hAnsi="Cambria"/>
          <w:noProof/>
          <w:sz w:val="22"/>
          <w:szCs w:val="22"/>
          <w:lang w:val="sr-Latn-BA"/>
        </w:rPr>
        <w:t>u skladu sa Odlukom o djelimični</w:t>
      </w:r>
      <w:r w:rsidRPr="00A13C71">
        <w:rPr>
          <w:rFonts w:ascii="Cambria" w:hAnsi="Cambria"/>
          <w:noProof/>
          <w:sz w:val="22"/>
          <w:szCs w:val="22"/>
          <w:lang w:val="sr-Latn-BA"/>
        </w:rPr>
        <w:t>m preoblikovanju AZIF-a u preoblikovanju „Polara Invest Fond“ a.d. Banja Luka (prečišćen tekst) broj SK 149/17 od 30.11.2017. godine, te smanjenje osnovnog kapitala AZIF-a u preoblikovanju „Polara Invest Fond“ a.d. Banja Luka izdvajanjem imovine za osnivanje otvorenog investicionog fonda i iznos pripadajućih gubitaka vezanih za odvojenu imovinu.</w:t>
      </w:r>
    </w:p>
    <w:p w14:paraId="5AFE622B" w14:textId="77777777" w:rsidR="002764ED" w:rsidRPr="00A13C71" w:rsidRDefault="002764ED" w:rsidP="0067511A">
      <w:pPr>
        <w:ind w:firstLine="405"/>
        <w:jc w:val="both"/>
        <w:rPr>
          <w:rFonts w:ascii="Cambria" w:hAnsi="Cambria"/>
          <w:noProof/>
          <w:sz w:val="22"/>
          <w:szCs w:val="22"/>
          <w:lang w:val="sr-Latn-BA"/>
        </w:rPr>
      </w:pPr>
      <w:r w:rsidRPr="00A13C71">
        <w:rPr>
          <w:rFonts w:ascii="Cambria" w:hAnsi="Cambria"/>
          <w:noProof/>
          <w:sz w:val="22"/>
          <w:szCs w:val="22"/>
          <w:lang w:val="sr-Latn-BA"/>
        </w:rPr>
        <w:t xml:space="preserve">Dana 26.05.2018. godine Centralni registar hartija od vrijednosti izvršio je registraciju hartija od vrijednosti rješenjem broj 01-6575/18, prva emisija-osnivanje otvorenog investicionog fonda. Udjeli su registrovani kod Komisije za hartije od vrijednosti Republike Srpske pod identifikacionim brojem JP-M-7. </w:t>
      </w:r>
    </w:p>
    <w:p w14:paraId="6C08E143" w14:textId="3F65A03B" w:rsidR="002764ED" w:rsidRPr="00A13C71" w:rsidRDefault="002764ED" w:rsidP="002764ED">
      <w:pPr>
        <w:jc w:val="both"/>
        <w:rPr>
          <w:rFonts w:ascii="Cambria" w:hAnsi="Cambria"/>
          <w:noProof/>
          <w:sz w:val="22"/>
          <w:szCs w:val="22"/>
          <w:lang w:val="sr-Latn-BA"/>
        </w:rPr>
      </w:pPr>
      <w:r w:rsidRPr="00A13C71">
        <w:rPr>
          <w:rFonts w:ascii="Cambria" w:hAnsi="Cambria"/>
          <w:noProof/>
          <w:sz w:val="22"/>
          <w:szCs w:val="22"/>
          <w:lang w:val="sr-Latn-BA"/>
        </w:rPr>
        <w:t>Nakon upisa prve emisije,udjeli fonda nose oznaku ADBP-U-A, a od 14.06.2018. godine kotiraju na Banjalučkoj berzi a.d.</w:t>
      </w:r>
    </w:p>
    <w:p w14:paraId="2766FA03" w14:textId="77777777" w:rsidR="002908FF" w:rsidRPr="00A13C71" w:rsidRDefault="002908FF" w:rsidP="0067511A">
      <w:pPr>
        <w:ind w:firstLine="720"/>
        <w:jc w:val="both"/>
        <w:rPr>
          <w:rFonts w:ascii="Cambria" w:hAnsi="Cambria"/>
          <w:noProof/>
          <w:sz w:val="22"/>
          <w:szCs w:val="22"/>
          <w:lang w:val="sr-Latn-BA"/>
        </w:rPr>
      </w:pPr>
      <w:r w:rsidRPr="00A13C71">
        <w:rPr>
          <w:rFonts w:ascii="Cambria" w:hAnsi="Cambria"/>
          <w:noProof/>
          <w:sz w:val="22"/>
          <w:szCs w:val="22"/>
          <w:lang w:val="sr-Latn-BA"/>
        </w:rPr>
        <w:t>Prospektom Fonda definisano je: „Društvo za upravljanje će u prve dvije godine nakon osnivanja Fonda otkup i prodaju udjela vršiti jednom godišnje. U prvoj godini prijem zahtjeva za otkup (i prodaju) udjela će se završiti u roku od 12 mjeseci od dana registracije udjela u Centralnom registru hartija od vrijednosti a u drugoj godini prijem zahtjeva za otkup (i prodaju) udjela će se završiti u roku od 18 mjeseci od dana registracije udjela u Centralnom registru hartija od vrijednosti.“</w:t>
      </w:r>
    </w:p>
    <w:p w14:paraId="74307DEB" w14:textId="5723B761" w:rsidR="00142F2A" w:rsidRPr="00A13C71" w:rsidRDefault="00142F2A" w:rsidP="0067511A">
      <w:pPr>
        <w:ind w:firstLine="720"/>
        <w:jc w:val="both"/>
        <w:rPr>
          <w:rFonts w:ascii="Cambria" w:hAnsi="Cambria"/>
          <w:noProof/>
          <w:sz w:val="22"/>
          <w:szCs w:val="22"/>
          <w:lang w:val="sr-Latn-BA"/>
        </w:rPr>
      </w:pPr>
      <w:r w:rsidRPr="00A13C71">
        <w:rPr>
          <w:rFonts w:ascii="Cambria" w:hAnsi="Cambria"/>
          <w:noProof/>
          <w:sz w:val="22"/>
          <w:szCs w:val="22"/>
          <w:lang w:val="sr-Latn-BA"/>
        </w:rPr>
        <w:t>Nakon provedene procedure, Centralni registar je smanjio broj udjela, a nakon podnošenja Zahtjeva za isključenje udjela, udjeli OAIF Adriatic Balanced od 18.06.2020. godine ne kotiraju na Banjalučkoj berzi</w:t>
      </w:r>
      <w:r w:rsidR="00273EC6" w:rsidRPr="00A13C71">
        <w:rPr>
          <w:rFonts w:ascii="Cambria" w:hAnsi="Cambria"/>
          <w:noProof/>
          <w:sz w:val="22"/>
          <w:szCs w:val="22"/>
          <w:lang w:val="sr-Latn-BA"/>
        </w:rPr>
        <w:t>, te se otkup udjela vrši svaki dan.</w:t>
      </w:r>
    </w:p>
    <w:p w14:paraId="2BB6B8C8" w14:textId="334CFC44" w:rsidR="000D16AB" w:rsidRPr="00A13C71" w:rsidRDefault="000D16AB" w:rsidP="0067511A">
      <w:pPr>
        <w:ind w:firstLine="720"/>
        <w:jc w:val="both"/>
        <w:rPr>
          <w:rFonts w:ascii="Cambria" w:hAnsi="Cambria"/>
          <w:noProof/>
          <w:sz w:val="22"/>
          <w:szCs w:val="22"/>
          <w:lang w:val="sr-Latn-BA"/>
        </w:rPr>
      </w:pPr>
      <w:r w:rsidRPr="00A13C71">
        <w:rPr>
          <w:rFonts w:ascii="Cambria" w:hAnsi="Cambria"/>
          <w:noProof/>
          <w:sz w:val="22"/>
          <w:szCs w:val="22"/>
          <w:lang w:val="sr-Latn-BA"/>
        </w:rPr>
        <w:t xml:space="preserve">Poslove Depozitara obavlja Centralni registar hartija od vrijednosti Banja Luka  (u daljem tekstu Depozitar)  na osnovu </w:t>
      </w:r>
      <w:r w:rsidR="00B47F2B" w:rsidRPr="00A13C71">
        <w:rPr>
          <w:rFonts w:ascii="Cambria" w:hAnsi="Cambria"/>
          <w:noProof/>
          <w:sz w:val="22"/>
          <w:szCs w:val="22"/>
          <w:lang w:val="sr-Latn-BA"/>
        </w:rPr>
        <w:t>z</w:t>
      </w:r>
      <w:r w:rsidRPr="00A13C71">
        <w:rPr>
          <w:rFonts w:ascii="Cambria" w:hAnsi="Cambria"/>
          <w:noProof/>
          <w:sz w:val="22"/>
          <w:szCs w:val="22"/>
          <w:lang w:val="sr-Latn-BA"/>
        </w:rPr>
        <w:t xml:space="preserve">akona, </w:t>
      </w:r>
      <w:r w:rsidR="00B47F2B" w:rsidRPr="00A13C71">
        <w:rPr>
          <w:rFonts w:ascii="Cambria" w:hAnsi="Cambria"/>
          <w:noProof/>
          <w:sz w:val="22"/>
          <w:szCs w:val="22"/>
          <w:lang w:val="sr-Latn-BA"/>
        </w:rPr>
        <w:t>p</w:t>
      </w:r>
      <w:r w:rsidRPr="00A13C71">
        <w:rPr>
          <w:rFonts w:ascii="Cambria" w:hAnsi="Cambria"/>
          <w:noProof/>
          <w:sz w:val="22"/>
          <w:szCs w:val="22"/>
          <w:lang w:val="sr-Latn-BA"/>
        </w:rPr>
        <w:t>ravilnika i Ugovora o obavljanju poslova depozitara.</w:t>
      </w:r>
    </w:p>
    <w:p w14:paraId="63DD0AE8" w14:textId="31633424" w:rsidR="0033759C" w:rsidRPr="00A13C71" w:rsidRDefault="0033759C" w:rsidP="0033759C">
      <w:pPr>
        <w:jc w:val="both"/>
        <w:rPr>
          <w:rFonts w:ascii="Cambria" w:hAnsi="Cambria"/>
          <w:noProof/>
          <w:sz w:val="22"/>
          <w:szCs w:val="22"/>
          <w:lang w:val="sr-Latn-BA"/>
        </w:rPr>
      </w:pPr>
    </w:p>
    <w:p w14:paraId="45D422EB" w14:textId="77777777" w:rsidR="00055F25" w:rsidRPr="00A13C71" w:rsidRDefault="00055F25" w:rsidP="0033759C">
      <w:pPr>
        <w:jc w:val="both"/>
        <w:rPr>
          <w:rFonts w:ascii="Cambria" w:hAnsi="Cambria"/>
          <w:noProof/>
          <w:sz w:val="22"/>
          <w:szCs w:val="22"/>
          <w:lang w:val="sr-Latn-BA"/>
        </w:rPr>
      </w:pPr>
    </w:p>
    <w:p w14:paraId="0BA905A4" w14:textId="2FB27AE8" w:rsidR="00A2382F" w:rsidRPr="00A13C71" w:rsidRDefault="00A2382F" w:rsidP="00A2382F">
      <w:pPr>
        <w:autoSpaceDE w:val="0"/>
        <w:autoSpaceDN w:val="0"/>
        <w:adjustRightInd w:val="0"/>
        <w:spacing w:after="120"/>
        <w:rPr>
          <w:rFonts w:ascii="Cambria" w:hAnsi="Cambria" w:cs="Tahoma"/>
          <w:b/>
          <w:noProof/>
          <w:sz w:val="22"/>
          <w:szCs w:val="22"/>
          <w:lang w:val="sr-Latn-BA"/>
        </w:rPr>
      </w:pPr>
      <w:r w:rsidRPr="00A13C71">
        <w:rPr>
          <w:rFonts w:ascii="Cambria" w:hAnsi="Cambria" w:cs="Tahoma"/>
          <w:b/>
          <w:noProof/>
          <w:sz w:val="22"/>
          <w:szCs w:val="22"/>
          <w:lang w:val="sr-Latn-BA"/>
        </w:rPr>
        <w:t>2.  OSNOVE ZA SASTAVLJANJE I PREZENTACIJU FINANSIJSKIH IZVJEŠTAJA</w:t>
      </w:r>
    </w:p>
    <w:p w14:paraId="6E4A1128" w14:textId="27317717" w:rsidR="00A2382F" w:rsidRPr="00A13C71" w:rsidRDefault="00A2382F" w:rsidP="00A2382F">
      <w:pPr>
        <w:autoSpaceDE w:val="0"/>
        <w:autoSpaceDN w:val="0"/>
        <w:adjustRightInd w:val="0"/>
        <w:spacing w:after="120"/>
        <w:ind w:left="360"/>
        <w:rPr>
          <w:rFonts w:ascii="Cambria" w:hAnsi="Cambria" w:cs="Tahoma"/>
          <w:b/>
          <w:bCs/>
          <w:noProof/>
          <w:color w:val="000000"/>
          <w:sz w:val="22"/>
          <w:szCs w:val="22"/>
          <w:lang w:val="sr-Latn-BA"/>
        </w:rPr>
      </w:pPr>
      <w:r w:rsidRPr="00A13C71">
        <w:rPr>
          <w:rFonts w:ascii="Cambria" w:hAnsi="Cambria" w:cs="Tahoma"/>
          <w:b/>
          <w:bCs/>
          <w:noProof/>
          <w:color w:val="000000"/>
          <w:sz w:val="22"/>
          <w:szCs w:val="22"/>
          <w:lang w:val="sr-Latn-BA"/>
        </w:rPr>
        <w:t>2.1. Osnove za prezentaciju</w:t>
      </w:r>
    </w:p>
    <w:p w14:paraId="2A812EA8" w14:textId="642CC869" w:rsidR="00A2382F" w:rsidRPr="00A13C71" w:rsidRDefault="00A2382F" w:rsidP="0067511A">
      <w:pPr>
        <w:spacing w:after="120"/>
        <w:ind w:firstLine="360"/>
        <w:jc w:val="both"/>
        <w:rPr>
          <w:rFonts w:ascii="Cambria" w:hAnsi="Cambria" w:cs="Tahoma"/>
          <w:noProof/>
          <w:sz w:val="22"/>
          <w:szCs w:val="22"/>
          <w:lang w:val="sr-Latn-BA"/>
        </w:rPr>
      </w:pPr>
      <w:r w:rsidRPr="00A13C71">
        <w:rPr>
          <w:rFonts w:ascii="Cambria" w:hAnsi="Cambria" w:cs="Tahoma"/>
          <w:noProof/>
          <w:sz w:val="22"/>
          <w:szCs w:val="22"/>
          <w:lang w:val="sr-Latn-BA"/>
        </w:rPr>
        <w:t xml:space="preserve">Finansijski izvještaji su sastavljeni za period koji se završava na dan </w:t>
      </w:r>
      <w:bookmarkStart w:id="0" w:name="_Hlk77597995"/>
      <w:r w:rsidR="00B47F2B" w:rsidRPr="00A13C71">
        <w:rPr>
          <w:rFonts w:ascii="Cambria" w:hAnsi="Cambria" w:cs="Tahoma"/>
          <w:noProof/>
          <w:sz w:val="22"/>
          <w:szCs w:val="22"/>
          <w:lang w:val="sr-Latn-BA"/>
        </w:rPr>
        <w:t>3</w:t>
      </w:r>
      <w:r w:rsidR="00345B0D">
        <w:rPr>
          <w:rFonts w:ascii="Cambria" w:hAnsi="Cambria" w:cs="Tahoma"/>
          <w:noProof/>
          <w:sz w:val="22"/>
          <w:szCs w:val="22"/>
          <w:lang w:val="sr-Latn-BA"/>
        </w:rPr>
        <w:t>1</w:t>
      </w:r>
      <w:r w:rsidRPr="00A13C71">
        <w:rPr>
          <w:rFonts w:ascii="Cambria" w:hAnsi="Cambria" w:cs="Tahoma"/>
          <w:noProof/>
          <w:sz w:val="22"/>
          <w:szCs w:val="22"/>
          <w:lang w:val="sr-Latn-BA"/>
        </w:rPr>
        <w:t>.</w:t>
      </w:r>
      <w:r w:rsidR="00345B0D">
        <w:rPr>
          <w:rFonts w:ascii="Cambria" w:hAnsi="Cambria" w:cs="Tahoma"/>
          <w:noProof/>
          <w:sz w:val="22"/>
          <w:szCs w:val="22"/>
          <w:lang w:val="sr-Latn-BA"/>
        </w:rPr>
        <w:t>12</w:t>
      </w:r>
      <w:r w:rsidRPr="00A13C71">
        <w:rPr>
          <w:rFonts w:ascii="Cambria" w:hAnsi="Cambria" w:cs="Tahoma"/>
          <w:noProof/>
          <w:sz w:val="22"/>
          <w:szCs w:val="22"/>
          <w:lang w:val="sr-Latn-BA"/>
        </w:rPr>
        <w:t>.202</w:t>
      </w:r>
      <w:bookmarkEnd w:id="0"/>
      <w:r w:rsidR="00345056">
        <w:rPr>
          <w:rFonts w:ascii="Cambria" w:hAnsi="Cambria" w:cs="Tahoma"/>
          <w:noProof/>
          <w:sz w:val="22"/>
          <w:szCs w:val="22"/>
          <w:lang w:val="sr-Latn-BA"/>
        </w:rPr>
        <w:t>3</w:t>
      </w:r>
      <w:r w:rsidRPr="00A13C71">
        <w:rPr>
          <w:rFonts w:ascii="Cambria" w:hAnsi="Cambria" w:cs="Tahoma"/>
          <w:noProof/>
          <w:sz w:val="22"/>
          <w:szCs w:val="22"/>
          <w:lang w:val="sr-Latn-BA"/>
        </w:rPr>
        <w:t>. godine i izraženi su u konvertibilnim markama (KM).</w:t>
      </w:r>
      <w:r w:rsidR="00B47F2B" w:rsidRPr="00A13C71">
        <w:rPr>
          <w:rFonts w:ascii="Cambria" w:hAnsi="Cambria" w:cs="Tahoma"/>
          <w:noProof/>
          <w:sz w:val="22"/>
          <w:szCs w:val="22"/>
          <w:lang w:val="sr-Latn-BA"/>
        </w:rPr>
        <w:t xml:space="preserve"> </w:t>
      </w:r>
    </w:p>
    <w:p w14:paraId="38E7B813" w14:textId="6F97D2EF" w:rsidR="00A2382F" w:rsidRPr="00A13C71" w:rsidRDefault="00A2382F" w:rsidP="0067511A">
      <w:pPr>
        <w:spacing w:after="120"/>
        <w:ind w:firstLine="360"/>
        <w:jc w:val="both"/>
        <w:rPr>
          <w:rFonts w:ascii="Cambria" w:hAnsi="Cambria" w:cs="Tahoma"/>
          <w:noProof/>
          <w:color w:val="000000"/>
          <w:sz w:val="22"/>
          <w:szCs w:val="22"/>
          <w:lang w:val="sr-Latn-BA"/>
        </w:rPr>
      </w:pPr>
      <w:r w:rsidRPr="00A13C71">
        <w:rPr>
          <w:rFonts w:ascii="Cambria" w:hAnsi="Cambria" w:cs="Tahoma"/>
          <w:noProof/>
          <w:sz w:val="22"/>
          <w:szCs w:val="22"/>
          <w:lang w:val="sr-Latn-BA"/>
        </w:rPr>
        <w:t>U skladu sa Zakonom o računovodstvu i reviziji RS, finansijski izvještaji i evidentiranje poslovnih promjena</w:t>
      </w:r>
      <w:r w:rsidR="00B47F2B" w:rsidRPr="00A13C71">
        <w:rPr>
          <w:rFonts w:ascii="Cambria" w:hAnsi="Cambria" w:cs="Tahoma"/>
          <w:noProof/>
          <w:sz w:val="22"/>
          <w:szCs w:val="22"/>
          <w:lang w:val="sr-Latn-BA"/>
        </w:rPr>
        <w:t xml:space="preserve"> OAIF „ADRIATIC BALANCED“ ( u daljem tekstu:“Fond“)</w:t>
      </w:r>
      <w:r w:rsidRPr="00A13C71">
        <w:rPr>
          <w:rFonts w:ascii="Cambria" w:hAnsi="Cambria" w:cs="Tahoma"/>
          <w:noProof/>
          <w:sz w:val="22"/>
          <w:szCs w:val="22"/>
          <w:lang w:val="sr-Latn-BA"/>
        </w:rPr>
        <w:t xml:space="preserve"> su sastavljeni u skladu sa Međunarodnim računovodstvenim standardima (MRS) i</w:t>
      </w:r>
      <w:r w:rsidRPr="00A13C71">
        <w:rPr>
          <w:rFonts w:ascii="Cambria" w:hAnsi="Cambria" w:cs="Tahoma"/>
          <w:noProof/>
          <w:color w:val="000000"/>
          <w:sz w:val="22"/>
          <w:szCs w:val="22"/>
          <w:lang w:val="sr-Latn-BA"/>
        </w:rPr>
        <w:t xml:space="preserve"> Međunarodnim standardima finansijskog izvještavanja (MSFI) koji su u primjeni u Republici Srpskoj uz primjenu propisa koji uređuju tržište kapitala u Republici Srpskoj. </w:t>
      </w:r>
    </w:p>
    <w:p w14:paraId="2C8D90F6" w14:textId="77777777" w:rsidR="00A2382F" w:rsidRPr="00A13C71" w:rsidRDefault="00A2382F" w:rsidP="0067511A">
      <w:pPr>
        <w:autoSpaceDE w:val="0"/>
        <w:autoSpaceDN w:val="0"/>
        <w:adjustRightInd w:val="0"/>
        <w:spacing w:after="120"/>
        <w:ind w:firstLine="360"/>
        <w:jc w:val="both"/>
        <w:rPr>
          <w:rFonts w:ascii="Cambria" w:hAnsi="Cambria" w:cs="Tahoma"/>
          <w:noProof/>
          <w:sz w:val="22"/>
          <w:szCs w:val="22"/>
          <w:lang w:val="sr-Latn-BA"/>
        </w:rPr>
      </w:pPr>
      <w:r w:rsidRPr="00A13C71">
        <w:rPr>
          <w:rFonts w:ascii="Cambria" w:hAnsi="Cambria" w:cs="Tahoma"/>
          <w:noProof/>
          <w:sz w:val="22"/>
          <w:szCs w:val="22"/>
          <w:lang w:val="sr-Latn-BA"/>
        </w:rPr>
        <w:t>Finansijski izvještaji Fonda su prikazani u formatu koji je propisan Pravilnikom o sadržini i formi finansijskih izvještaja za investicione fondove (Službeni glasnik RS 63/16 i 115/17) i uključuju sljedeće izvještaje:</w:t>
      </w:r>
    </w:p>
    <w:p w14:paraId="52BC6645" w14:textId="77777777" w:rsidR="006964EA" w:rsidRPr="00A13C71" w:rsidRDefault="006964EA" w:rsidP="006964EA">
      <w:pPr>
        <w:autoSpaceDE w:val="0"/>
        <w:autoSpaceDN w:val="0"/>
        <w:adjustRightInd w:val="0"/>
        <w:ind w:left="567"/>
        <w:jc w:val="both"/>
        <w:rPr>
          <w:rFonts w:ascii="Cambria" w:hAnsi="Cambria" w:cs="Tahoma"/>
          <w:noProof/>
          <w:sz w:val="22"/>
          <w:szCs w:val="22"/>
          <w:lang w:val="sr-Latn-BA"/>
        </w:rPr>
      </w:pPr>
      <w:r w:rsidRPr="00A13C71">
        <w:rPr>
          <w:rFonts w:ascii="Cambria" w:hAnsi="Cambria" w:cs="Tahoma"/>
          <w:noProof/>
          <w:sz w:val="22"/>
          <w:szCs w:val="22"/>
          <w:lang w:val="sr-Latn-BA"/>
        </w:rPr>
        <w:t>1) Bilans stanja investicionog fonda - Izvještaj o finansijskom položaju,</w:t>
      </w:r>
    </w:p>
    <w:p w14:paraId="20AC4CB2" w14:textId="77777777" w:rsidR="006964EA" w:rsidRPr="00A13C71" w:rsidRDefault="006964EA" w:rsidP="006964EA">
      <w:pPr>
        <w:autoSpaceDE w:val="0"/>
        <w:autoSpaceDN w:val="0"/>
        <w:adjustRightInd w:val="0"/>
        <w:ind w:left="567"/>
        <w:jc w:val="both"/>
        <w:rPr>
          <w:rFonts w:ascii="Cambria" w:hAnsi="Cambria" w:cs="Tahoma"/>
          <w:noProof/>
          <w:sz w:val="22"/>
          <w:szCs w:val="22"/>
          <w:lang w:val="sr-Latn-BA"/>
        </w:rPr>
      </w:pPr>
      <w:r w:rsidRPr="00A13C71">
        <w:rPr>
          <w:rFonts w:ascii="Cambria" w:hAnsi="Cambria" w:cs="Tahoma"/>
          <w:noProof/>
          <w:sz w:val="22"/>
          <w:szCs w:val="22"/>
          <w:lang w:val="sr-Latn-BA"/>
        </w:rPr>
        <w:t>2) Bilans uspjeha investicionog fonda - Izvještaj o ukupnom rezultatu u periodu,</w:t>
      </w:r>
    </w:p>
    <w:p w14:paraId="0D070429" w14:textId="77777777" w:rsidR="006964EA" w:rsidRPr="00A13C71" w:rsidRDefault="006964EA" w:rsidP="006964EA">
      <w:pPr>
        <w:autoSpaceDE w:val="0"/>
        <w:autoSpaceDN w:val="0"/>
        <w:adjustRightInd w:val="0"/>
        <w:ind w:left="567"/>
        <w:jc w:val="both"/>
        <w:rPr>
          <w:rFonts w:ascii="Cambria" w:hAnsi="Cambria" w:cs="Tahoma"/>
          <w:noProof/>
          <w:sz w:val="22"/>
          <w:szCs w:val="22"/>
          <w:lang w:val="sr-Latn-BA"/>
        </w:rPr>
      </w:pPr>
      <w:r w:rsidRPr="00A13C71">
        <w:rPr>
          <w:rFonts w:ascii="Cambria" w:hAnsi="Cambria" w:cs="Tahoma"/>
          <w:noProof/>
          <w:sz w:val="22"/>
          <w:szCs w:val="22"/>
          <w:lang w:val="sr-Latn-BA"/>
        </w:rPr>
        <w:t>3) Izvještaj o promjenama neto imovine investicionog fonda,</w:t>
      </w:r>
    </w:p>
    <w:p w14:paraId="613754E9" w14:textId="77777777" w:rsidR="006964EA" w:rsidRPr="00A13C71" w:rsidRDefault="006964EA" w:rsidP="006964EA">
      <w:pPr>
        <w:autoSpaceDE w:val="0"/>
        <w:autoSpaceDN w:val="0"/>
        <w:adjustRightInd w:val="0"/>
        <w:ind w:left="567"/>
        <w:jc w:val="both"/>
        <w:rPr>
          <w:rFonts w:ascii="Cambria" w:hAnsi="Cambria" w:cs="Tahoma"/>
          <w:noProof/>
          <w:sz w:val="22"/>
          <w:szCs w:val="22"/>
          <w:lang w:val="sr-Latn-BA"/>
        </w:rPr>
      </w:pPr>
      <w:r w:rsidRPr="00A13C71">
        <w:rPr>
          <w:rFonts w:ascii="Cambria" w:hAnsi="Cambria" w:cs="Tahoma"/>
          <w:noProof/>
          <w:sz w:val="22"/>
          <w:szCs w:val="22"/>
          <w:lang w:val="sr-Latn-BA"/>
        </w:rPr>
        <w:t>4) Bilans tokova gotovine investicionog fonda - Izvještaj o tokovima gotovine,</w:t>
      </w:r>
    </w:p>
    <w:p w14:paraId="22C15B71" w14:textId="77777777" w:rsidR="006964EA" w:rsidRPr="00A13C71" w:rsidRDefault="006964EA" w:rsidP="006964EA">
      <w:pPr>
        <w:autoSpaceDE w:val="0"/>
        <w:autoSpaceDN w:val="0"/>
        <w:adjustRightInd w:val="0"/>
        <w:ind w:left="567"/>
        <w:jc w:val="both"/>
        <w:rPr>
          <w:rFonts w:ascii="Cambria" w:hAnsi="Cambria" w:cs="Tahoma"/>
          <w:noProof/>
          <w:sz w:val="22"/>
          <w:szCs w:val="22"/>
          <w:lang w:val="sr-Latn-BA"/>
        </w:rPr>
      </w:pPr>
      <w:r w:rsidRPr="00A13C71">
        <w:rPr>
          <w:rFonts w:ascii="Cambria" w:hAnsi="Cambria" w:cs="Tahoma"/>
          <w:noProof/>
          <w:sz w:val="22"/>
          <w:szCs w:val="22"/>
          <w:lang w:val="sr-Latn-BA"/>
        </w:rPr>
        <w:t>5) Izvještaj o finansijskim pokazatelјima po udjelu ili akciji investicionog fonda,</w:t>
      </w:r>
    </w:p>
    <w:p w14:paraId="6EDDCDFF" w14:textId="77777777" w:rsidR="006964EA" w:rsidRPr="00A13C71" w:rsidRDefault="006964EA" w:rsidP="006964EA">
      <w:pPr>
        <w:autoSpaceDE w:val="0"/>
        <w:autoSpaceDN w:val="0"/>
        <w:adjustRightInd w:val="0"/>
        <w:ind w:left="567"/>
        <w:jc w:val="both"/>
        <w:rPr>
          <w:rFonts w:ascii="Cambria" w:hAnsi="Cambria" w:cs="Tahoma"/>
          <w:noProof/>
          <w:sz w:val="22"/>
          <w:szCs w:val="22"/>
          <w:lang w:val="sr-Latn-BA"/>
        </w:rPr>
      </w:pPr>
      <w:r w:rsidRPr="00A13C71">
        <w:rPr>
          <w:rFonts w:ascii="Cambria" w:hAnsi="Cambria" w:cs="Tahoma"/>
          <w:noProof/>
          <w:sz w:val="22"/>
          <w:szCs w:val="22"/>
          <w:lang w:val="sr-Latn-BA"/>
        </w:rPr>
        <w:t>6) Izvještaj o strukturi ulaganja investicionog fonda,</w:t>
      </w:r>
    </w:p>
    <w:p w14:paraId="4E34A892" w14:textId="77777777" w:rsidR="006964EA" w:rsidRPr="00A13C71" w:rsidRDefault="006964EA" w:rsidP="006964EA">
      <w:pPr>
        <w:autoSpaceDE w:val="0"/>
        <w:autoSpaceDN w:val="0"/>
        <w:adjustRightInd w:val="0"/>
        <w:ind w:left="567"/>
        <w:jc w:val="both"/>
        <w:rPr>
          <w:rFonts w:ascii="Cambria" w:hAnsi="Cambria" w:cs="Tahoma"/>
          <w:noProof/>
          <w:sz w:val="22"/>
          <w:szCs w:val="22"/>
          <w:lang w:val="sr-Latn-BA"/>
        </w:rPr>
      </w:pPr>
      <w:r w:rsidRPr="00A13C71">
        <w:rPr>
          <w:rFonts w:ascii="Cambria" w:hAnsi="Cambria" w:cs="Tahoma"/>
          <w:noProof/>
          <w:sz w:val="22"/>
          <w:szCs w:val="22"/>
          <w:lang w:val="sr-Latn-BA"/>
        </w:rPr>
        <w:t>7) Izvještaj o strukturi imovine investicionog fonda po vrstama imovine,</w:t>
      </w:r>
    </w:p>
    <w:p w14:paraId="5533C979" w14:textId="77777777" w:rsidR="006964EA" w:rsidRPr="00A13C71" w:rsidRDefault="006964EA" w:rsidP="006964EA">
      <w:pPr>
        <w:autoSpaceDE w:val="0"/>
        <w:autoSpaceDN w:val="0"/>
        <w:adjustRightInd w:val="0"/>
        <w:ind w:left="567"/>
        <w:jc w:val="both"/>
        <w:rPr>
          <w:rFonts w:ascii="Cambria" w:hAnsi="Cambria" w:cs="Tahoma"/>
          <w:noProof/>
          <w:sz w:val="22"/>
          <w:szCs w:val="22"/>
          <w:lang w:val="sr-Latn-BA"/>
        </w:rPr>
      </w:pPr>
      <w:r w:rsidRPr="00A13C71">
        <w:rPr>
          <w:rFonts w:ascii="Cambria" w:hAnsi="Cambria" w:cs="Tahoma"/>
          <w:noProof/>
          <w:sz w:val="22"/>
          <w:szCs w:val="22"/>
          <w:lang w:val="sr-Latn-BA"/>
        </w:rPr>
        <w:t>8) Struktura obaveza investicionog fonda po vrstama instrumenata,</w:t>
      </w:r>
    </w:p>
    <w:p w14:paraId="3EC4F808" w14:textId="77777777" w:rsidR="006964EA" w:rsidRPr="00A13C71" w:rsidRDefault="006964EA" w:rsidP="006964EA">
      <w:pPr>
        <w:autoSpaceDE w:val="0"/>
        <w:autoSpaceDN w:val="0"/>
        <w:adjustRightInd w:val="0"/>
        <w:ind w:left="567"/>
        <w:jc w:val="both"/>
        <w:rPr>
          <w:rFonts w:ascii="Cambria" w:hAnsi="Cambria" w:cs="Tahoma"/>
          <w:noProof/>
          <w:sz w:val="22"/>
          <w:szCs w:val="22"/>
          <w:lang w:val="sr-Latn-BA"/>
        </w:rPr>
      </w:pPr>
      <w:r w:rsidRPr="00A13C71">
        <w:rPr>
          <w:rFonts w:ascii="Cambria" w:hAnsi="Cambria" w:cs="Tahoma"/>
          <w:noProof/>
          <w:sz w:val="22"/>
          <w:szCs w:val="22"/>
          <w:lang w:val="sr-Latn-BA"/>
        </w:rPr>
        <w:t>9) Izvještaj o realizovanim dobicima (gubicima) investicionog fonda,</w:t>
      </w:r>
    </w:p>
    <w:p w14:paraId="256C12EA" w14:textId="77777777" w:rsidR="006964EA" w:rsidRPr="00A13C71" w:rsidRDefault="006964EA" w:rsidP="006964EA">
      <w:pPr>
        <w:autoSpaceDE w:val="0"/>
        <w:autoSpaceDN w:val="0"/>
        <w:adjustRightInd w:val="0"/>
        <w:ind w:left="567"/>
        <w:jc w:val="both"/>
        <w:rPr>
          <w:rFonts w:ascii="Cambria" w:hAnsi="Cambria" w:cs="Tahoma"/>
          <w:noProof/>
          <w:sz w:val="22"/>
          <w:szCs w:val="22"/>
          <w:lang w:val="sr-Latn-BA"/>
        </w:rPr>
      </w:pPr>
      <w:r w:rsidRPr="00A13C71">
        <w:rPr>
          <w:rFonts w:ascii="Cambria" w:hAnsi="Cambria" w:cs="Tahoma"/>
          <w:noProof/>
          <w:sz w:val="22"/>
          <w:szCs w:val="22"/>
          <w:lang w:val="sr-Latn-BA"/>
        </w:rPr>
        <w:t>10) Izvještaj o nerealizovanim dobicima (gubicima) investicionog fonda i</w:t>
      </w:r>
    </w:p>
    <w:p w14:paraId="1A58EC89" w14:textId="60770076" w:rsidR="00B47F2B" w:rsidRPr="00A13C71" w:rsidRDefault="006964EA" w:rsidP="00B47F2B">
      <w:pPr>
        <w:autoSpaceDE w:val="0"/>
        <w:autoSpaceDN w:val="0"/>
        <w:adjustRightInd w:val="0"/>
        <w:spacing w:after="120"/>
        <w:ind w:left="567"/>
        <w:jc w:val="both"/>
        <w:rPr>
          <w:rFonts w:ascii="Cambria" w:hAnsi="Cambria" w:cs="Tahoma"/>
          <w:noProof/>
          <w:sz w:val="22"/>
          <w:szCs w:val="22"/>
          <w:lang w:val="sr-Latn-BA"/>
        </w:rPr>
      </w:pPr>
      <w:r w:rsidRPr="00A13C71">
        <w:rPr>
          <w:rFonts w:ascii="Cambria" w:hAnsi="Cambria" w:cs="Tahoma"/>
          <w:noProof/>
          <w:sz w:val="22"/>
          <w:szCs w:val="22"/>
          <w:lang w:val="sr-Latn-BA"/>
        </w:rPr>
        <w:t>11) Izvještaj o transakcijama sa povezanim licima.</w:t>
      </w:r>
    </w:p>
    <w:p w14:paraId="2BCE2920" w14:textId="77777777" w:rsidR="00055F25" w:rsidRPr="00A13C71" w:rsidRDefault="00055F25" w:rsidP="00055F25">
      <w:pPr>
        <w:autoSpaceDE w:val="0"/>
        <w:autoSpaceDN w:val="0"/>
        <w:adjustRightInd w:val="0"/>
        <w:spacing w:after="120"/>
        <w:jc w:val="both"/>
        <w:rPr>
          <w:rFonts w:ascii="Cambria" w:hAnsi="Cambria" w:cs="Tahoma"/>
          <w:noProof/>
          <w:sz w:val="22"/>
          <w:szCs w:val="22"/>
          <w:lang w:val="sr-Latn-BA"/>
        </w:rPr>
      </w:pPr>
    </w:p>
    <w:p w14:paraId="0554780C" w14:textId="5802CC72" w:rsidR="00A2382F" w:rsidRPr="00A13C71" w:rsidRDefault="00055F25" w:rsidP="00055F25">
      <w:pPr>
        <w:autoSpaceDE w:val="0"/>
        <w:autoSpaceDN w:val="0"/>
        <w:adjustRightInd w:val="0"/>
        <w:spacing w:after="120"/>
        <w:jc w:val="both"/>
        <w:rPr>
          <w:rFonts w:ascii="Cambria" w:hAnsi="Cambria" w:cs="Tahoma"/>
          <w:noProof/>
          <w:sz w:val="22"/>
          <w:szCs w:val="22"/>
          <w:lang w:val="sr-Latn-BA"/>
        </w:rPr>
      </w:pPr>
      <w:r w:rsidRPr="00A13C71">
        <w:rPr>
          <w:rFonts w:ascii="Cambria" w:hAnsi="Cambria" w:cs="Tahoma"/>
          <w:noProof/>
          <w:sz w:val="22"/>
          <w:szCs w:val="22"/>
          <w:lang w:val="sr-Latn-BA"/>
        </w:rPr>
        <w:lastRenderedPageBreak/>
        <w:t xml:space="preserve">          </w:t>
      </w:r>
      <w:r w:rsidR="00A2382F" w:rsidRPr="00A13C71">
        <w:rPr>
          <w:rFonts w:ascii="Cambria" w:hAnsi="Cambria" w:cs="Tahoma"/>
          <w:noProof/>
          <w:sz w:val="22"/>
          <w:szCs w:val="22"/>
          <w:lang w:val="sr-Latn-BA"/>
        </w:rPr>
        <w:t>S obzirom na specifičnost poslovanja investicionih fondova, pri izradi finansijskih izvještaja, pored opštih zakona koji regulišu pitanje računovodstva, primijenjeni su sljedeći zakoni i podzakonski akti:</w:t>
      </w:r>
    </w:p>
    <w:p w14:paraId="148E0B8D" w14:textId="77777777" w:rsidR="00A2382F" w:rsidRPr="00A13C71" w:rsidRDefault="00A2382F" w:rsidP="00A2382F">
      <w:pPr>
        <w:autoSpaceDE w:val="0"/>
        <w:autoSpaceDN w:val="0"/>
        <w:adjustRightInd w:val="0"/>
        <w:ind w:left="284" w:hanging="284"/>
        <w:jc w:val="both"/>
        <w:rPr>
          <w:rFonts w:ascii="Cambria" w:hAnsi="Cambria" w:cs="Tahoma"/>
          <w:noProof/>
          <w:sz w:val="22"/>
          <w:szCs w:val="22"/>
          <w:lang w:val="sr-Latn-BA"/>
        </w:rPr>
      </w:pPr>
      <w:r w:rsidRPr="00A13C71">
        <w:rPr>
          <w:rFonts w:ascii="Cambria" w:hAnsi="Cambria" w:cs="Tahoma"/>
          <w:noProof/>
          <w:sz w:val="22"/>
          <w:szCs w:val="22"/>
          <w:lang w:val="sr-Latn-BA"/>
        </w:rPr>
        <w:t>•</w:t>
      </w:r>
      <w:r w:rsidRPr="00A13C71">
        <w:rPr>
          <w:rFonts w:ascii="Cambria" w:hAnsi="Cambria" w:cs="Tahoma"/>
          <w:noProof/>
          <w:sz w:val="22"/>
          <w:szCs w:val="22"/>
          <w:lang w:val="sr-Latn-BA"/>
        </w:rPr>
        <w:tab/>
        <w:t xml:space="preserve">Zakon o investicionim fondovima </w:t>
      </w:r>
    </w:p>
    <w:p w14:paraId="285DD3A0" w14:textId="77777777" w:rsidR="00A2382F" w:rsidRPr="00A13C71" w:rsidRDefault="00A2382F" w:rsidP="00A2382F">
      <w:pPr>
        <w:autoSpaceDE w:val="0"/>
        <w:autoSpaceDN w:val="0"/>
        <w:adjustRightInd w:val="0"/>
        <w:ind w:left="284" w:hanging="284"/>
        <w:jc w:val="both"/>
        <w:rPr>
          <w:rFonts w:ascii="Cambria" w:hAnsi="Cambria" w:cs="Tahoma"/>
          <w:noProof/>
          <w:sz w:val="22"/>
          <w:szCs w:val="22"/>
          <w:lang w:val="sr-Latn-BA"/>
        </w:rPr>
      </w:pPr>
      <w:r w:rsidRPr="00A13C71">
        <w:rPr>
          <w:rFonts w:ascii="Cambria" w:hAnsi="Cambria" w:cs="Tahoma"/>
          <w:noProof/>
          <w:sz w:val="22"/>
          <w:szCs w:val="22"/>
          <w:lang w:val="sr-Latn-BA"/>
        </w:rPr>
        <w:t>•</w:t>
      </w:r>
      <w:r w:rsidRPr="00A13C71">
        <w:rPr>
          <w:rFonts w:ascii="Cambria" w:hAnsi="Cambria" w:cs="Tahoma"/>
          <w:noProof/>
          <w:sz w:val="22"/>
          <w:szCs w:val="22"/>
          <w:lang w:val="sr-Latn-BA"/>
        </w:rPr>
        <w:tab/>
        <w:t xml:space="preserve">Zakon o tržištu hartija od vrijednosti </w:t>
      </w:r>
    </w:p>
    <w:p w14:paraId="328C6BD4" w14:textId="77777777" w:rsidR="00A2382F" w:rsidRPr="00A13C71" w:rsidRDefault="00A2382F" w:rsidP="00A2382F">
      <w:pPr>
        <w:autoSpaceDE w:val="0"/>
        <w:autoSpaceDN w:val="0"/>
        <w:adjustRightInd w:val="0"/>
        <w:ind w:left="284" w:hanging="284"/>
        <w:jc w:val="both"/>
        <w:rPr>
          <w:rFonts w:ascii="Cambria" w:hAnsi="Cambria" w:cs="Tahoma"/>
          <w:noProof/>
          <w:sz w:val="22"/>
          <w:szCs w:val="22"/>
          <w:lang w:val="sr-Latn-BA"/>
        </w:rPr>
      </w:pPr>
      <w:r w:rsidRPr="00A13C71">
        <w:rPr>
          <w:rFonts w:ascii="Cambria" w:hAnsi="Cambria" w:cs="Tahoma"/>
          <w:noProof/>
          <w:sz w:val="22"/>
          <w:szCs w:val="22"/>
          <w:lang w:val="sr-Latn-BA"/>
        </w:rPr>
        <w:t>•</w:t>
      </w:r>
      <w:r w:rsidRPr="00A13C71">
        <w:rPr>
          <w:rFonts w:ascii="Cambria" w:hAnsi="Cambria" w:cs="Tahoma"/>
          <w:noProof/>
          <w:sz w:val="22"/>
          <w:szCs w:val="22"/>
          <w:lang w:val="sr-Latn-BA"/>
        </w:rPr>
        <w:tab/>
        <w:t xml:space="preserve">Zakon o privrednim društvima </w:t>
      </w:r>
    </w:p>
    <w:p w14:paraId="50118187" w14:textId="77777777" w:rsidR="00A2382F" w:rsidRPr="00A13C71" w:rsidRDefault="00A2382F" w:rsidP="00A2382F">
      <w:pPr>
        <w:autoSpaceDE w:val="0"/>
        <w:autoSpaceDN w:val="0"/>
        <w:adjustRightInd w:val="0"/>
        <w:ind w:left="284" w:hanging="284"/>
        <w:jc w:val="both"/>
        <w:rPr>
          <w:rFonts w:ascii="Cambria" w:hAnsi="Cambria" w:cs="Tahoma"/>
          <w:noProof/>
          <w:sz w:val="22"/>
          <w:szCs w:val="22"/>
          <w:lang w:val="sr-Latn-BA"/>
        </w:rPr>
      </w:pPr>
      <w:r w:rsidRPr="00A13C71">
        <w:rPr>
          <w:rFonts w:ascii="Cambria" w:hAnsi="Cambria" w:cs="Tahoma"/>
          <w:noProof/>
          <w:sz w:val="22"/>
          <w:szCs w:val="22"/>
          <w:lang w:val="sr-Latn-BA"/>
        </w:rPr>
        <w:t>•</w:t>
      </w:r>
      <w:r w:rsidRPr="00A13C71">
        <w:rPr>
          <w:rFonts w:ascii="Cambria" w:hAnsi="Cambria" w:cs="Tahoma"/>
          <w:noProof/>
          <w:sz w:val="22"/>
          <w:szCs w:val="22"/>
          <w:lang w:val="sr-Latn-BA"/>
        </w:rPr>
        <w:tab/>
        <w:t>Pravilnik o utvrđivanju vrijednosti imovine investicionog fonda i obračunu neto vrijednosti imovine po udjelu ili po akciji investicionog fonda</w:t>
      </w:r>
    </w:p>
    <w:p w14:paraId="4AA2E5E5" w14:textId="77777777" w:rsidR="00A2382F" w:rsidRPr="00A13C71" w:rsidRDefault="00A2382F" w:rsidP="00A2382F">
      <w:pPr>
        <w:autoSpaceDE w:val="0"/>
        <w:autoSpaceDN w:val="0"/>
        <w:adjustRightInd w:val="0"/>
        <w:ind w:left="284" w:hanging="284"/>
        <w:jc w:val="both"/>
        <w:rPr>
          <w:rFonts w:ascii="Cambria" w:hAnsi="Cambria" w:cs="Tahoma"/>
          <w:noProof/>
          <w:sz w:val="22"/>
          <w:szCs w:val="22"/>
          <w:lang w:val="sr-Latn-BA"/>
        </w:rPr>
      </w:pPr>
      <w:r w:rsidRPr="00A13C71">
        <w:rPr>
          <w:rFonts w:ascii="Cambria" w:hAnsi="Cambria" w:cs="Tahoma"/>
          <w:noProof/>
          <w:sz w:val="22"/>
          <w:szCs w:val="22"/>
          <w:lang w:val="sr-Latn-BA"/>
        </w:rPr>
        <w:t>•</w:t>
      </w:r>
      <w:r w:rsidRPr="00A13C71">
        <w:rPr>
          <w:rFonts w:ascii="Cambria" w:hAnsi="Cambria" w:cs="Tahoma"/>
          <w:noProof/>
          <w:sz w:val="22"/>
          <w:szCs w:val="22"/>
          <w:lang w:val="sr-Latn-BA"/>
        </w:rPr>
        <w:tab/>
        <w:t xml:space="preserve">Pravilnik o obavljanju poslova banke depozitara investicionih fondova </w:t>
      </w:r>
    </w:p>
    <w:p w14:paraId="665A5177" w14:textId="77777777" w:rsidR="00A2382F" w:rsidRPr="00A13C71" w:rsidRDefault="00A2382F" w:rsidP="00A2382F">
      <w:pPr>
        <w:autoSpaceDE w:val="0"/>
        <w:autoSpaceDN w:val="0"/>
        <w:adjustRightInd w:val="0"/>
        <w:spacing w:after="120"/>
        <w:ind w:left="284" w:hanging="284"/>
        <w:jc w:val="both"/>
        <w:rPr>
          <w:rFonts w:ascii="Cambria" w:hAnsi="Cambria" w:cs="Tahoma"/>
          <w:noProof/>
          <w:sz w:val="22"/>
          <w:szCs w:val="22"/>
          <w:lang w:val="sr-Latn-BA"/>
        </w:rPr>
      </w:pPr>
      <w:r w:rsidRPr="00A13C71">
        <w:rPr>
          <w:rFonts w:ascii="Cambria" w:hAnsi="Cambria" w:cs="Tahoma"/>
          <w:noProof/>
          <w:sz w:val="22"/>
          <w:szCs w:val="22"/>
          <w:lang w:val="sr-Latn-BA"/>
        </w:rPr>
        <w:t>•</w:t>
      </w:r>
      <w:r w:rsidRPr="00A13C71">
        <w:rPr>
          <w:rFonts w:ascii="Cambria" w:hAnsi="Cambria" w:cs="Tahoma"/>
          <w:noProof/>
          <w:sz w:val="22"/>
          <w:szCs w:val="22"/>
          <w:lang w:val="sr-Latn-BA"/>
        </w:rPr>
        <w:tab/>
        <w:t>Pravilnik o kontnom okviru i sadržini računa u kontnom okviru za investicione fondove.</w:t>
      </w:r>
    </w:p>
    <w:p w14:paraId="57671B2A" w14:textId="769B2630" w:rsidR="00A2382F" w:rsidRPr="00A13C71" w:rsidRDefault="004C61FD" w:rsidP="0067511A">
      <w:pPr>
        <w:autoSpaceDE w:val="0"/>
        <w:autoSpaceDN w:val="0"/>
        <w:adjustRightInd w:val="0"/>
        <w:spacing w:after="120"/>
        <w:ind w:firstLine="284"/>
        <w:rPr>
          <w:rFonts w:ascii="Cambria" w:hAnsi="Cambria" w:cs="Tahoma"/>
          <w:iCs/>
          <w:noProof/>
          <w:sz w:val="22"/>
          <w:szCs w:val="22"/>
          <w:lang w:val="sr-Latn-BA"/>
        </w:rPr>
      </w:pPr>
      <w:bookmarkStart w:id="1" w:name="_Hlk77596436"/>
      <w:bookmarkStart w:id="2" w:name="_Hlk77598065"/>
      <w:r w:rsidRPr="00A13C71">
        <w:rPr>
          <w:rFonts w:ascii="Cambria" w:hAnsi="Cambria" w:cs="Tahoma"/>
          <w:iCs/>
          <w:noProof/>
          <w:sz w:val="22"/>
          <w:szCs w:val="22"/>
          <w:lang w:val="sr-Latn-BA"/>
        </w:rPr>
        <w:t>Imovina Fon</w:t>
      </w:r>
      <w:r w:rsidR="00A11412" w:rsidRPr="00A13C71">
        <w:rPr>
          <w:rFonts w:ascii="Cambria" w:hAnsi="Cambria" w:cs="Tahoma"/>
          <w:iCs/>
          <w:noProof/>
          <w:sz w:val="22"/>
          <w:szCs w:val="22"/>
          <w:lang w:val="sr-Latn-BA"/>
        </w:rPr>
        <w:t>d</w:t>
      </w:r>
      <w:r w:rsidRPr="00A13C71">
        <w:rPr>
          <w:rFonts w:ascii="Cambria" w:hAnsi="Cambria" w:cs="Tahoma"/>
          <w:iCs/>
          <w:noProof/>
          <w:sz w:val="22"/>
          <w:szCs w:val="22"/>
          <w:lang w:val="sr-Latn-BA"/>
        </w:rPr>
        <w:t>a je vrednovana u skladu sa Pravilnikom o utvrđivanju vrijednosti imovine investicionog fonda  i obračunu neto vrijednosti imovine po udjelu ili akciji investicionog fonda kojeg je donio regulatorni organ Komisij</w:t>
      </w:r>
      <w:r w:rsidR="00A11412" w:rsidRPr="00A13C71">
        <w:rPr>
          <w:rFonts w:ascii="Cambria" w:hAnsi="Cambria" w:cs="Tahoma"/>
          <w:iCs/>
          <w:noProof/>
          <w:sz w:val="22"/>
          <w:szCs w:val="22"/>
          <w:lang w:val="sr-Latn-BA"/>
        </w:rPr>
        <w:t>a</w:t>
      </w:r>
      <w:r w:rsidRPr="00A13C71">
        <w:rPr>
          <w:rFonts w:ascii="Cambria" w:hAnsi="Cambria" w:cs="Tahoma"/>
          <w:iCs/>
          <w:noProof/>
          <w:sz w:val="22"/>
          <w:szCs w:val="22"/>
          <w:lang w:val="sr-Latn-BA"/>
        </w:rPr>
        <w:t xml:space="preserve"> za hartije od vrijednosti Republike Srpske.</w:t>
      </w:r>
    </w:p>
    <w:p w14:paraId="3914E56A" w14:textId="1EC962F8" w:rsidR="00547BCE" w:rsidRPr="00A13C71" w:rsidRDefault="00547BCE" w:rsidP="00547BCE">
      <w:pPr>
        <w:rPr>
          <w:rFonts w:asciiTheme="majorHAnsi" w:hAnsiTheme="majorHAnsi" w:cs="Calibri"/>
          <w:noProof/>
          <w:sz w:val="22"/>
          <w:szCs w:val="22"/>
          <w:lang w:val="sr-Latn-BA"/>
        </w:rPr>
      </w:pPr>
      <w:r w:rsidRPr="00A13C71">
        <w:rPr>
          <w:rFonts w:asciiTheme="majorHAnsi" w:hAnsiTheme="majorHAnsi" w:cs="Calibri"/>
          <w:noProof/>
          <w:sz w:val="22"/>
          <w:szCs w:val="22"/>
          <w:lang w:val="sr-Latn-BA"/>
        </w:rPr>
        <w:t xml:space="preserve">      Uporedne podatke čine podaci sadržani u finansijskim izvještajima za 202</w:t>
      </w:r>
      <w:r w:rsidR="00345056">
        <w:rPr>
          <w:rFonts w:asciiTheme="majorHAnsi" w:hAnsiTheme="majorHAnsi" w:cs="Calibri"/>
          <w:noProof/>
          <w:sz w:val="22"/>
          <w:szCs w:val="22"/>
          <w:lang w:val="sr-Latn-BA"/>
        </w:rPr>
        <w:t>2</w:t>
      </w:r>
      <w:r w:rsidRPr="00A13C71">
        <w:rPr>
          <w:rFonts w:asciiTheme="majorHAnsi" w:hAnsiTheme="majorHAnsi" w:cs="Calibri"/>
          <w:noProof/>
          <w:sz w:val="22"/>
          <w:szCs w:val="22"/>
          <w:lang w:val="sr-Latn-BA"/>
        </w:rPr>
        <w:t>. godinu, sastavljeni u skladu sa računovodstvenim propisima važećim u Republici Srpskoj.</w:t>
      </w:r>
    </w:p>
    <w:p w14:paraId="45F6AD2B" w14:textId="77777777" w:rsidR="00547BCE" w:rsidRPr="00A13C71" w:rsidRDefault="00547BCE" w:rsidP="00547BCE">
      <w:pPr>
        <w:rPr>
          <w:rFonts w:asciiTheme="majorHAnsi" w:hAnsiTheme="majorHAnsi" w:cs="Calibri"/>
          <w:noProof/>
          <w:sz w:val="22"/>
          <w:szCs w:val="22"/>
          <w:lang w:val="sr-Latn-BA"/>
        </w:rPr>
      </w:pPr>
    </w:p>
    <w:p w14:paraId="36696B35" w14:textId="4C5E1BA2" w:rsidR="00A2382F" w:rsidRPr="00A13C71" w:rsidRDefault="00C55ADD" w:rsidP="00C55ADD">
      <w:pPr>
        <w:autoSpaceDE w:val="0"/>
        <w:autoSpaceDN w:val="0"/>
        <w:adjustRightInd w:val="0"/>
        <w:spacing w:after="120"/>
        <w:ind w:left="360"/>
        <w:rPr>
          <w:rFonts w:ascii="Cambria" w:hAnsi="Cambria" w:cs="Tahoma"/>
          <w:b/>
          <w:bCs/>
          <w:noProof/>
          <w:color w:val="000000"/>
          <w:sz w:val="22"/>
          <w:szCs w:val="22"/>
          <w:lang w:val="sr-Latn-BA"/>
        </w:rPr>
      </w:pPr>
      <w:r w:rsidRPr="00A13C71">
        <w:rPr>
          <w:rFonts w:ascii="Cambria" w:hAnsi="Cambria" w:cs="Tahoma"/>
          <w:b/>
          <w:bCs/>
          <w:noProof/>
          <w:color w:val="000000"/>
          <w:sz w:val="22"/>
          <w:szCs w:val="22"/>
          <w:lang w:val="sr-Latn-BA"/>
        </w:rPr>
        <w:t xml:space="preserve">2.2. </w:t>
      </w:r>
      <w:r w:rsidR="00A2382F" w:rsidRPr="00A13C71">
        <w:rPr>
          <w:rFonts w:ascii="Cambria" w:hAnsi="Cambria" w:cs="Tahoma"/>
          <w:b/>
          <w:bCs/>
          <w:noProof/>
          <w:color w:val="000000"/>
          <w:sz w:val="22"/>
          <w:szCs w:val="22"/>
          <w:lang w:val="sr-Latn-BA"/>
        </w:rPr>
        <w:t>Korišćenje procjenjivanja</w:t>
      </w:r>
    </w:p>
    <w:p w14:paraId="05429E55" w14:textId="77777777" w:rsidR="00A2382F" w:rsidRPr="00A13C71" w:rsidRDefault="00A2382F" w:rsidP="0067511A">
      <w:pPr>
        <w:suppressAutoHyphens/>
        <w:spacing w:after="120"/>
        <w:ind w:firstLine="360"/>
        <w:jc w:val="both"/>
        <w:rPr>
          <w:rFonts w:ascii="Cambria" w:hAnsi="Cambria" w:cs="Tahoma"/>
          <w:noProof/>
          <w:sz w:val="22"/>
          <w:szCs w:val="22"/>
          <w:lang w:val="sr-Latn-BA"/>
        </w:rPr>
      </w:pPr>
      <w:r w:rsidRPr="00A13C71">
        <w:rPr>
          <w:rFonts w:ascii="Cambria" w:hAnsi="Cambria" w:cs="Tahoma"/>
          <w:noProof/>
          <w:sz w:val="22"/>
          <w:szCs w:val="22"/>
          <w:lang w:val="sr-Latn-BA"/>
        </w:rPr>
        <w:t>Prezentacija finansijskih izvještaja zahtjeva od rukovodstva korišćenje najboljih mogućih procjena i razumnih pretpostavki, koje imaju efekta na prezentovane vrijednosti sredstava i obaveza i objelodanjivanje potencijalnih sredstava i obaveza na dan sastavljanja finansijskih izvještaja, kao i prihoda i rashoda u toku izvještajnog perioda. Ove procjene i pretpostavke su zasnovane na informacijama raspoloživim na dan sastavljanja finansijskih izvještaja, a budući stvarni rezultati mogu se razlikovati od procijenjenih iznosa.</w:t>
      </w:r>
    </w:p>
    <w:bookmarkEnd w:id="1"/>
    <w:p w14:paraId="6D21F00B" w14:textId="77777777" w:rsidR="00A2382F" w:rsidRPr="00A13C71" w:rsidRDefault="00A2382F" w:rsidP="00A2382F">
      <w:pPr>
        <w:suppressAutoHyphens/>
        <w:spacing w:after="120"/>
        <w:jc w:val="both"/>
        <w:rPr>
          <w:rFonts w:ascii="Cambria" w:hAnsi="Cambria" w:cs="Tahoma"/>
          <w:noProof/>
          <w:sz w:val="22"/>
          <w:szCs w:val="22"/>
          <w:lang w:val="sr-Latn-BA"/>
        </w:rPr>
      </w:pPr>
    </w:p>
    <w:bookmarkEnd w:id="2"/>
    <w:p w14:paraId="70D26303" w14:textId="77777777" w:rsidR="0033759C" w:rsidRPr="00A13C71" w:rsidRDefault="0033759C" w:rsidP="0033759C">
      <w:pPr>
        <w:rPr>
          <w:rFonts w:ascii="Cambria" w:hAnsi="Cambria"/>
          <w:b/>
          <w:bCs/>
          <w:noProof/>
          <w:sz w:val="22"/>
          <w:szCs w:val="22"/>
          <w:lang w:val="sr-Latn-BA"/>
        </w:rPr>
      </w:pPr>
      <w:r w:rsidRPr="00A13C71">
        <w:rPr>
          <w:rFonts w:ascii="Cambria" w:hAnsi="Cambria"/>
          <w:b/>
          <w:bCs/>
          <w:noProof/>
          <w:sz w:val="22"/>
          <w:szCs w:val="22"/>
          <w:lang w:val="sr-Latn-BA"/>
        </w:rPr>
        <w:t>3.</w:t>
      </w:r>
      <w:r w:rsidRPr="00A13C71">
        <w:rPr>
          <w:rFonts w:ascii="Cambria" w:hAnsi="Cambria"/>
          <w:b/>
          <w:bCs/>
          <w:noProof/>
          <w:sz w:val="22"/>
          <w:szCs w:val="22"/>
          <w:lang w:val="sr-Latn-BA"/>
        </w:rPr>
        <w:tab/>
        <w:t>PREGLED ZNAČAJNIH RAČUNOVODSTVENIH POLITIKA</w:t>
      </w:r>
    </w:p>
    <w:p w14:paraId="522D5E9A" w14:textId="764C630A" w:rsidR="0033759C" w:rsidRPr="00A13C71" w:rsidRDefault="0033759C" w:rsidP="0033759C">
      <w:pPr>
        <w:rPr>
          <w:rFonts w:ascii="Cambria" w:hAnsi="Cambria"/>
          <w:noProof/>
          <w:sz w:val="22"/>
          <w:szCs w:val="22"/>
          <w:lang w:val="sr-Latn-BA"/>
        </w:rPr>
      </w:pPr>
    </w:p>
    <w:p w14:paraId="6B807662" w14:textId="77777777" w:rsidR="00055F25" w:rsidRPr="00A13C71" w:rsidRDefault="00055F25" w:rsidP="0033759C">
      <w:pPr>
        <w:rPr>
          <w:rFonts w:ascii="Cambria" w:hAnsi="Cambria"/>
          <w:noProof/>
          <w:sz w:val="22"/>
          <w:szCs w:val="22"/>
          <w:lang w:val="sr-Latn-BA"/>
        </w:rPr>
      </w:pPr>
    </w:p>
    <w:p w14:paraId="3193252B" w14:textId="77777777" w:rsidR="0033759C" w:rsidRPr="00A13C71" w:rsidRDefault="0033759C" w:rsidP="0033759C">
      <w:pPr>
        <w:rPr>
          <w:rFonts w:ascii="Cambria" w:hAnsi="Cambria"/>
          <w:b/>
          <w:bCs/>
          <w:i/>
          <w:iCs/>
          <w:noProof/>
          <w:sz w:val="22"/>
          <w:szCs w:val="22"/>
          <w:lang w:val="sr-Latn-BA"/>
        </w:rPr>
      </w:pPr>
      <w:r w:rsidRPr="00A13C71">
        <w:rPr>
          <w:rFonts w:ascii="Cambria" w:hAnsi="Cambria"/>
          <w:b/>
          <w:bCs/>
          <w:i/>
          <w:iCs/>
          <w:noProof/>
          <w:sz w:val="22"/>
          <w:szCs w:val="22"/>
          <w:lang w:val="sr-Latn-BA"/>
        </w:rPr>
        <w:t>Poslovni prihodi</w:t>
      </w:r>
    </w:p>
    <w:p w14:paraId="63621EA4" w14:textId="77777777" w:rsidR="004327DC" w:rsidRPr="00A13C71" w:rsidRDefault="0033759C" w:rsidP="0067511A">
      <w:pPr>
        <w:ind w:firstLine="720"/>
        <w:jc w:val="both"/>
        <w:rPr>
          <w:rFonts w:ascii="Cambria" w:hAnsi="Cambria"/>
          <w:noProof/>
          <w:sz w:val="22"/>
          <w:szCs w:val="22"/>
          <w:lang w:val="sr-Latn-BA"/>
        </w:rPr>
      </w:pPr>
      <w:r w:rsidRPr="00A13C71">
        <w:rPr>
          <w:rFonts w:ascii="Cambria" w:hAnsi="Cambria"/>
          <w:noProof/>
          <w:sz w:val="22"/>
          <w:szCs w:val="22"/>
          <w:lang w:val="sr-Latn-BA"/>
        </w:rPr>
        <w:t xml:space="preserve">Poslovni prihodi obuhvataju prihode od dividendi od domaćih i stranih emitenata, prihodi od kamata i </w:t>
      </w:r>
      <w:r w:rsidR="00B47F2B" w:rsidRPr="00A13C71">
        <w:rPr>
          <w:rFonts w:ascii="Cambria" w:hAnsi="Cambria"/>
          <w:noProof/>
          <w:sz w:val="22"/>
          <w:szCs w:val="22"/>
          <w:lang w:val="sr-Latn-BA"/>
        </w:rPr>
        <w:t>amortizacija premije (diskonta) po osnovu HOV sa diksnim rokom dospijeća i ostale poslovne prihode.</w:t>
      </w:r>
    </w:p>
    <w:p w14:paraId="2B50BBC6" w14:textId="4249CE22" w:rsidR="00E776AD" w:rsidRPr="00A13C71" w:rsidRDefault="004327DC" w:rsidP="0067511A">
      <w:pPr>
        <w:ind w:firstLine="720"/>
        <w:jc w:val="both"/>
        <w:rPr>
          <w:rFonts w:ascii="Cambria" w:hAnsi="Cambria"/>
          <w:noProof/>
          <w:sz w:val="22"/>
          <w:szCs w:val="22"/>
          <w:lang w:val="sr-Latn-BA"/>
        </w:rPr>
      </w:pPr>
      <w:r w:rsidRPr="00A13C71">
        <w:rPr>
          <w:rFonts w:ascii="Cambria" w:hAnsi="Cambria"/>
          <w:noProof/>
          <w:sz w:val="22"/>
          <w:szCs w:val="22"/>
          <w:lang w:val="sr-Latn-BA"/>
        </w:rPr>
        <w:t>Realizovani dobitak obuhvata resalizovane dobitke po osnovu prodaje hartija od vrijednosti, realizovane dobitke po osnovu kursnih razlika i ostale realizovane dobitke.</w:t>
      </w:r>
      <w:r w:rsidR="0033759C" w:rsidRPr="00A13C71">
        <w:rPr>
          <w:rFonts w:ascii="Cambria" w:hAnsi="Cambria"/>
          <w:noProof/>
          <w:sz w:val="22"/>
          <w:szCs w:val="22"/>
          <w:lang w:val="sr-Latn-BA"/>
        </w:rPr>
        <w:t xml:space="preserve"> </w:t>
      </w:r>
    </w:p>
    <w:p w14:paraId="77B17152" w14:textId="0F50D6E5" w:rsidR="0033759C" w:rsidRPr="00A13C71" w:rsidRDefault="0033759C" w:rsidP="0067511A">
      <w:pPr>
        <w:ind w:firstLine="720"/>
        <w:jc w:val="both"/>
        <w:rPr>
          <w:rFonts w:ascii="Cambria" w:hAnsi="Cambria"/>
          <w:noProof/>
          <w:sz w:val="22"/>
          <w:szCs w:val="22"/>
          <w:lang w:val="sr-Latn-BA"/>
        </w:rPr>
      </w:pPr>
      <w:r w:rsidRPr="00A13C71">
        <w:rPr>
          <w:rFonts w:ascii="Cambria" w:hAnsi="Cambria"/>
          <w:noProof/>
          <w:sz w:val="22"/>
          <w:szCs w:val="22"/>
          <w:lang w:val="sr-Latn-BA"/>
        </w:rPr>
        <w:t>Prihodi od dividendi  se se evidentiraju po donošenju odluke i utvrđivanju vlasničkog prava na isplatu, a ako je naplata povezana sa visokim rizikom, tada se prihodi priznaju u trenutku naplate.</w:t>
      </w:r>
    </w:p>
    <w:p w14:paraId="6D5555A4" w14:textId="0104A417" w:rsidR="0033759C" w:rsidRPr="00A13C71" w:rsidRDefault="0033759C" w:rsidP="0067511A">
      <w:pPr>
        <w:ind w:firstLine="720"/>
        <w:jc w:val="both"/>
        <w:rPr>
          <w:rFonts w:ascii="Cambria" w:hAnsi="Cambria"/>
          <w:strike/>
          <w:noProof/>
          <w:sz w:val="22"/>
          <w:szCs w:val="22"/>
          <w:lang w:val="sr-Latn-BA"/>
        </w:rPr>
      </w:pPr>
      <w:r w:rsidRPr="00A13C71">
        <w:rPr>
          <w:rFonts w:ascii="Cambria" w:hAnsi="Cambria"/>
          <w:noProof/>
          <w:sz w:val="22"/>
          <w:szCs w:val="22"/>
          <w:lang w:val="sr-Latn-BA"/>
        </w:rPr>
        <w:t>Prihodi od kamata i amortizacije premije (diskonta) po osnovu HOV sa fiksnim rokom dospijeća predstavljaju prihode koje fond ostvaruje po osnovu dužničkih hartija od vrijednosti i po osnovu depozita</w:t>
      </w:r>
      <w:r w:rsidR="00707086" w:rsidRPr="00A13C71">
        <w:rPr>
          <w:rFonts w:ascii="Cambria" w:hAnsi="Cambria"/>
          <w:noProof/>
          <w:sz w:val="22"/>
          <w:szCs w:val="22"/>
          <w:lang w:val="sr-Latn-BA"/>
        </w:rPr>
        <w:t>.</w:t>
      </w:r>
    </w:p>
    <w:p w14:paraId="7DC36258" w14:textId="77777777" w:rsidR="0033759C" w:rsidRPr="00A13C71" w:rsidRDefault="0033759C" w:rsidP="0067511A">
      <w:pPr>
        <w:ind w:firstLine="720"/>
        <w:jc w:val="both"/>
        <w:rPr>
          <w:rFonts w:ascii="Cambria" w:hAnsi="Cambria"/>
          <w:noProof/>
          <w:sz w:val="22"/>
          <w:szCs w:val="22"/>
          <w:lang w:val="sr-Latn-BA"/>
        </w:rPr>
      </w:pPr>
      <w:r w:rsidRPr="00A13C71">
        <w:rPr>
          <w:rFonts w:ascii="Cambria" w:hAnsi="Cambria"/>
          <w:noProof/>
          <w:sz w:val="22"/>
          <w:szCs w:val="22"/>
          <w:lang w:val="sr-Latn-BA"/>
        </w:rPr>
        <w:t>Ostali poslovni prihodi podrazumijevaju ostale poslovne prihode koji nisu sadržani u napred navedenim prihodima. Ostali prihodi se knjiže po načelu uzročnosti.</w:t>
      </w:r>
    </w:p>
    <w:p w14:paraId="4BA0CE38" w14:textId="77777777" w:rsidR="0033759C" w:rsidRPr="00A13C71" w:rsidRDefault="0033759C" w:rsidP="0033759C">
      <w:pPr>
        <w:jc w:val="both"/>
        <w:rPr>
          <w:rFonts w:ascii="Cambria" w:hAnsi="Cambria"/>
          <w:noProof/>
          <w:sz w:val="22"/>
          <w:szCs w:val="22"/>
          <w:lang w:val="sr-Latn-BA"/>
        </w:rPr>
      </w:pPr>
    </w:p>
    <w:p w14:paraId="731404BF" w14:textId="77777777" w:rsidR="0033759C" w:rsidRPr="00A13C71" w:rsidRDefault="0033759C" w:rsidP="0033759C">
      <w:pPr>
        <w:jc w:val="both"/>
        <w:rPr>
          <w:rFonts w:ascii="Cambria" w:hAnsi="Cambria"/>
          <w:b/>
          <w:bCs/>
          <w:i/>
          <w:iCs/>
          <w:noProof/>
          <w:sz w:val="22"/>
          <w:szCs w:val="22"/>
          <w:lang w:val="sr-Latn-BA"/>
        </w:rPr>
      </w:pPr>
      <w:r w:rsidRPr="00A13C71">
        <w:rPr>
          <w:rFonts w:ascii="Cambria" w:hAnsi="Cambria"/>
          <w:b/>
          <w:bCs/>
          <w:i/>
          <w:iCs/>
          <w:noProof/>
          <w:sz w:val="22"/>
          <w:szCs w:val="22"/>
          <w:lang w:val="sr-Latn-BA"/>
        </w:rPr>
        <w:t>Poslovni rashodi</w:t>
      </w:r>
    </w:p>
    <w:p w14:paraId="74AACEBF" w14:textId="2C8647CE" w:rsidR="0033759C" w:rsidRPr="00A13C71" w:rsidRDefault="0033759C" w:rsidP="0067511A">
      <w:pPr>
        <w:ind w:firstLine="720"/>
        <w:jc w:val="both"/>
        <w:rPr>
          <w:rFonts w:ascii="Cambria" w:hAnsi="Cambria"/>
          <w:b/>
          <w:bCs/>
          <w:i/>
          <w:iCs/>
          <w:noProof/>
          <w:sz w:val="22"/>
          <w:szCs w:val="22"/>
          <w:lang w:val="sr-Latn-BA"/>
        </w:rPr>
      </w:pPr>
      <w:r w:rsidRPr="00A13C71">
        <w:rPr>
          <w:rFonts w:ascii="Cambria" w:hAnsi="Cambria"/>
          <w:noProof/>
          <w:sz w:val="22"/>
          <w:szCs w:val="22"/>
          <w:lang w:val="sr-Latn-BA"/>
        </w:rPr>
        <w:t xml:space="preserve">Poslovni rashodi se evidentiraju </w:t>
      </w:r>
      <w:r w:rsidR="004327DC" w:rsidRPr="00A13C71">
        <w:rPr>
          <w:rFonts w:ascii="Cambria" w:hAnsi="Cambria"/>
          <w:noProof/>
          <w:sz w:val="22"/>
          <w:szCs w:val="22"/>
          <w:lang w:val="sr-Latn-BA"/>
        </w:rPr>
        <w:t>u trenutku</w:t>
      </w:r>
      <w:r w:rsidRPr="00A13C71">
        <w:rPr>
          <w:rFonts w:ascii="Cambria" w:hAnsi="Cambria"/>
          <w:noProof/>
          <w:sz w:val="22"/>
          <w:szCs w:val="22"/>
          <w:lang w:val="sr-Latn-BA"/>
        </w:rPr>
        <w:t xml:space="preserve"> njihovog nastanka. Poslovne rashode Fonda čin</w:t>
      </w:r>
      <w:r w:rsidR="00707086" w:rsidRPr="00A13C71">
        <w:rPr>
          <w:rFonts w:ascii="Cambria" w:hAnsi="Cambria"/>
          <w:noProof/>
          <w:sz w:val="22"/>
          <w:szCs w:val="22"/>
          <w:lang w:val="sr-Latn-BA"/>
        </w:rPr>
        <w:t>i</w:t>
      </w:r>
      <w:r w:rsidRPr="00A13C71">
        <w:rPr>
          <w:rFonts w:ascii="Cambria" w:hAnsi="Cambria"/>
          <w:noProof/>
          <w:sz w:val="22"/>
          <w:szCs w:val="22"/>
          <w:lang w:val="sr-Latn-BA"/>
        </w:rPr>
        <w:t xml:space="preserve"> naknada po osnovu provizije za upravljanje Fondom</w:t>
      </w:r>
      <w:r w:rsidR="00F743AF" w:rsidRPr="00A13C71">
        <w:rPr>
          <w:rFonts w:ascii="Cambria" w:hAnsi="Cambria"/>
          <w:noProof/>
          <w:sz w:val="22"/>
          <w:szCs w:val="22"/>
          <w:lang w:val="sr-Latn-BA"/>
        </w:rPr>
        <w:t>, troškovi kupovine i prodaje ulaganja, troškovi eksterne revizije, naknada banci depozitaru, realizovani guvici od ulatganja i ostali dozvoljeni rashodi fonda.</w:t>
      </w:r>
    </w:p>
    <w:p w14:paraId="53BDE3F8" w14:textId="5600CEFF" w:rsidR="00CF531E" w:rsidRPr="00A13C71" w:rsidRDefault="007B5275" w:rsidP="00CF531E">
      <w:pPr>
        <w:tabs>
          <w:tab w:val="left" w:pos="-1440"/>
          <w:tab w:val="left" w:pos="-720"/>
          <w:tab w:val="left" w:pos="889"/>
          <w:tab w:val="left" w:pos="1231"/>
          <w:tab w:val="right" w:pos="8960"/>
        </w:tabs>
        <w:jc w:val="both"/>
        <w:rPr>
          <w:rFonts w:ascii="Cambria" w:hAnsi="Cambria"/>
          <w:noProof/>
          <w:sz w:val="22"/>
          <w:szCs w:val="22"/>
          <w:lang w:val="sr-Latn-BA"/>
        </w:rPr>
      </w:pPr>
      <w:r w:rsidRPr="00A13C71">
        <w:rPr>
          <w:rFonts w:ascii="Cambria" w:hAnsi="Cambria"/>
          <w:noProof/>
          <w:sz w:val="22"/>
          <w:szCs w:val="22"/>
          <w:lang w:val="sr-Latn-BA"/>
        </w:rPr>
        <w:t xml:space="preserve">                </w:t>
      </w:r>
      <w:r w:rsidR="00CF531E" w:rsidRPr="00A13C71">
        <w:rPr>
          <w:rFonts w:ascii="Cambria" w:hAnsi="Cambria"/>
          <w:noProof/>
          <w:sz w:val="22"/>
          <w:szCs w:val="22"/>
          <w:lang w:val="sr-Latn-BA"/>
        </w:rPr>
        <w:t>Prospektom Fonda definisano je da se naknada za upravljanje obračunava po stopi od 3,5% od korigovane neto imovine.</w:t>
      </w:r>
    </w:p>
    <w:p w14:paraId="57CA640E" w14:textId="77777777" w:rsidR="0033759C" w:rsidRPr="00A13C71" w:rsidRDefault="0033759C" w:rsidP="0067511A">
      <w:pPr>
        <w:ind w:firstLine="720"/>
        <w:jc w:val="both"/>
        <w:rPr>
          <w:rFonts w:ascii="Cambria" w:hAnsi="Cambria"/>
          <w:noProof/>
          <w:sz w:val="22"/>
          <w:szCs w:val="22"/>
          <w:lang w:val="sr-Latn-BA"/>
        </w:rPr>
      </w:pPr>
      <w:r w:rsidRPr="00A13C71">
        <w:rPr>
          <w:rFonts w:ascii="Cambria" w:hAnsi="Cambria"/>
          <w:noProof/>
          <w:sz w:val="22"/>
          <w:szCs w:val="22"/>
          <w:lang w:val="sr-Latn-BA"/>
        </w:rPr>
        <w:t>Članom 94. Zakona o investicionim fondovima je definisano da se naknada za upravljanje obračunava na  neto vrijednost imovine fonda na dnevnoj osnovi.</w:t>
      </w:r>
    </w:p>
    <w:p w14:paraId="170DA84D" w14:textId="352F4FEF" w:rsidR="00F217FB" w:rsidRPr="00A13C71" w:rsidRDefault="007B5275" w:rsidP="00F217FB">
      <w:pPr>
        <w:tabs>
          <w:tab w:val="left" w:pos="-1440"/>
          <w:tab w:val="left" w:pos="-720"/>
          <w:tab w:val="left" w:pos="889"/>
          <w:tab w:val="left" w:pos="1231"/>
          <w:tab w:val="right" w:pos="8960"/>
        </w:tabs>
        <w:jc w:val="both"/>
        <w:rPr>
          <w:rFonts w:ascii="Cambria" w:hAnsi="Cambria"/>
          <w:noProof/>
          <w:sz w:val="22"/>
          <w:szCs w:val="22"/>
          <w:lang w:val="sr-Latn-BA"/>
        </w:rPr>
      </w:pPr>
      <w:r w:rsidRPr="00A13C71">
        <w:rPr>
          <w:rFonts w:ascii="Cambria" w:hAnsi="Cambria"/>
          <w:noProof/>
          <w:sz w:val="22"/>
          <w:szCs w:val="22"/>
          <w:lang w:val="sr-Latn-BA"/>
        </w:rPr>
        <w:t xml:space="preserve">                </w:t>
      </w:r>
      <w:r w:rsidR="00F217FB" w:rsidRPr="00A13C71">
        <w:rPr>
          <w:rFonts w:ascii="Cambria" w:hAnsi="Cambria"/>
          <w:noProof/>
          <w:sz w:val="22"/>
          <w:szCs w:val="22"/>
          <w:lang w:val="sr-Latn-BA"/>
        </w:rPr>
        <w:t>Članom 3. Pravilnika o utvrđivanju vrijednosti imovine investicionog fonda i obračunu neto vrijednosti imovine po udjelu ili po akciji investicionog fonda (Službeni glasnik RS broj 1</w:t>
      </w:r>
      <w:r w:rsidR="000F528D" w:rsidRPr="00A13C71">
        <w:rPr>
          <w:rFonts w:ascii="Cambria" w:hAnsi="Cambria"/>
          <w:noProof/>
          <w:sz w:val="22"/>
          <w:szCs w:val="22"/>
          <w:lang w:val="sr-Latn-BA"/>
        </w:rPr>
        <w:t>1</w:t>
      </w:r>
      <w:r w:rsidR="00F217FB" w:rsidRPr="00A13C71">
        <w:rPr>
          <w:rFonts w:ascii="Cambria" w:hAnsi="Cambria"/>
          <w:noProof/>
          <w:sz w:val="22"/>
          <w:szCs w:val="22"/>
          <w:lang w:val="sr-Latn-BA"/>
        </w:rPr>
        <w:t>8/1</w:t>
      </w:r>
      <w:r w:rsidR="000F528D" w:rsidRPr="00A13C71">
        <w:rPr>
          <w:rFonts w:ascii="Cambria" w:hAnsi="Cambria"/>
          <w:noProof/>
          <w:sz w:val="22"/>
          <w:szCs w:val="22"/>
          <w:lang w:val="sr-Latn-BA"/>
        </w:rPr>
        <w:t>8</w:t>
      </w:r>
      <w:r w:rsidR="00CF531E" w:rsidRPr="00A13C71">
        <w:rPr>
          <w:rFonts w:ascii="Cambria" w:hAnsi="Cambria"/>
          <w:noProof/>
          <w:sz w:val="22"/>
          <w:szCs w:val="22"/>
          <w:lang w:val="sr-Latn-BA"/>
        </w:rPr>
        <w:t xml:space="preserve">, </w:t>
      </w:r>
      <w:r w:rsidR="00F217FB" w:rsidRPr="00A13C71">
        <w:rPr>
          <w:rFonts w:ascii="Cambria" w:hAnsi="Cambria"/>
          <w:noProof/>
          <w:sz w:val="22"/>
          <w:szCs w:val="22"/>
          <w:lang w:val="sr-Latn-BA"/>
        </w:rPr>
        <w:t xml:space="preserve">), definisano je da pri utvrđivanju osnovice za obračun naknade društvu za upravljanje u ukupnu imovinu investicionog fonda na dan vrednovanja uključuju se sve vrste imovine u dijelu koji zadovoljava kriterijume dozvoljenih ulaganja i </w:t>
      </w:r>
      <w:r w:rsidR="00F217FB" w:rsidRPr="00A13C71">
        <w:rPr>
          <w:rFonts w:ascii="Cambria" w:hAnsi="Cambria"/>
          <w:noProof/>
          <w:sz w:val="22"/>
          <w:szCs w:val="22"/>
          <w:lang w:val="sr-Latn-BA"/>
        </w:rPr>
        <w:lastRenderedPageBreak/>
        <w:t>kriterijume ograničenja ulaganja propisane Zakonom.</w:t>
      </w:r>
      <w:r w:rsidR="00C60469" w:rsidRPr="00A13C71">
        <w:rPr>
          <w:rFonts w:ascii="Cambria" w:hAnsi="Cambria"/>
          <w:noProof/>
          <w:sz w:val="22"/>
          <w:szCs w:val="22"/>
          <w:lang w:val="sr-Latn-BA"/>
        </w:rPr>
        <w:t xml:space="preserve"> </w:t>
      </w:r>
      <w:r w:rsidR="000F0055" w:rsidRPr="00A13C71">
        <w:rPr>
          <w:rFonts w:ascii="Cambria" w:hAnsi="Cambria"/>
          <w:noProof/>
          <w:sz w:val="22"/>
          <w:szCs w:val="22"/>
          <w:lang w:val="sr-Latn-BA"/>
        </w:rPr>
        <w:t>Neto imovina se koriguje z</w:t>
      </w:r>
      <w:r w:rsidR="00C60469" w:rsidRPr="00A13C71">
        <w:rPr>
          <w:rFonts w:ascii="Cambria" w:hAnsi="Cambria"/>
          <w:noProof/>
          <w:sz w:val="22"/>
          <w:szCs w:val="22"/>
          <w:lang w:val="sr-Latn-BA"/>
        </w:rPr>
        <w:t>a vrijednosti imovine koja je u prekoračenju.</w:t>
      </w:r>
    </w:p>
    <w:p w14:paraId="33931B4A" w14:textId="77777777" w:rsidR="00055F25" w:rsidRPr="00A13C71" w:rsidRDefault="00055F25" w:rsidP="0033759C">
      <w:pPr>
        <w:jc w:val="both"/>
        <w:rPr>
          <w:rFonts w:ascii="Cambria" w:hAnsi="Cambria"/>
          <w:noProof/>
          <w:sz w:val="22"/>
          <w:szCs w:val="22"/>
          <w:lang w:val="sr-Latn-BA"/>
        </w:rPr>
      </w:pPr>
    </w:p>
    <w:p w14:paraId="1EEA70E4" w14:textId="054EB90E" w:rsidR="0033759C" w:rsidRPr="00A13C71" w:rsidRDefault="0033759C" w:rsidP="0033759C">
      <w:pPr>
        <w:jc w:val="both"/>
        <w:rPr>
          <w:rFonts w:ascii="Cambria" w:hAnsi="Cambria"/>
          <w:b/>
          <w:bCs/>
          <w:i/>
          <w:iCs/>
          <w:noProof/>
          <w:sz w:val="22"/>
          <w:szCs w:val="22"/>
          <w:lang w:val="sr-Latn-BA"/>
        </w:rPr>
      </w:pPr>
      <w:r w:rsidRPr="00A13C71">
        <w:rPr>
          <w:rFonts w:ascii="Cambria" w:hAnsi="Cambria"/>
          <w:b/>
          <w:bCs/>
          <w:i/>
          <w:iCs/>
          <w:noProof/>
          <w:sz w:val="22"/>
          <w:szCs w:val="22"/>
          <w:lang w:val="sr-Latn-BA"/>
        </w:rPr>
        <w:t>Realizovani dobici i gubici od ulaganja</w:t>
      </w:r>
    </w:p>
    <w:p w14:paraId="22F999FF" w14:textId="367D7165" w:rsidR="0033759C" w:rsidRPr="00A13C71" w:rsidRDefault="00CD6ECC" w:rsidP="00CD6ECC">
      <w:pPr>
        <w:jc w:val="both"/>
        <w:rPr>
          <w:rFonts w:ascii="Cambria" w:hAnsi="Cambria"/>
          <w:noProof/>
          <w:sz w:val="22"/>
          <w:szCs w:val="22"/>
          <w:lang w:val="sr-Latn-BA"/>
        </w:rPr>
      </w:pPr>
      <w:r w:rsidRPr="00A13C71">
        <w:rPr>
          <w:rFonts w:ascii="Cambria" w:hAnsi="Cambria"/>
          <w:b/>
          <w:bCs/>
          <w:i/>
          <w:iCs/>
          <w:noProof/>
          <w:sz w:val="22"/>
          <w:szCs w:val="22"/>
          <w:lang w:val="sr-Latn-BA"/>
        </w:rPr>
        <w:t xml:space="preserve">               </w:t>
      </w:r>
      <w:r w:rsidR="0033759C" w:rsidRPr="00A13C71">
        <w:rPr>
          <w:rFonts w:ascii="Cambria" w:hAnsi="Cambria"/>
          <w:noProof/>
          <w:sz w:val="22"/>
          <w:szCs w:val="22"/>
          <w:lang w:val="sr-Latn-BA"/>
        </w:rPr>
        <w:t xml:space="preserve">Prihode i rashode Fonda čine i realizovani dobici odnosno gubici od transakcija sa ulaganjima. Njihovo evidentiranje u poslovnim knjigama se vrši na dan  transakcije. </w:t>
      </w:r>
    </w:p>
    <w:p w14:paraId="5C9583D5" w14:textId="44EF5203" w:rsidR="0033759C" w:rsidRPr="00A13C71" w:rsidRDefault="0033759C" w:rsidP="0067511A">
      <w:pPr>
        <w:ind w:firstLine="720"/>
        <w:jc w:val="both"/>
        <w:rPr>
          <w:rFonts w:ascii="Cambria" w:hAnsi="Cambria"/>
          <w:noProof/>
          <w:sz w:val="22"/>
          <w:szCs w:val="22"/>
          <w:lang w:val="sr-Latn-BA"/>
        </w:rPr>
      </w:pPr>
      <w:r w:rsidRPr="00A13C71">
        <w:rPr>
          <w:rFonts w:ascii="Cambria" w:hAnsi="Cambria"/>
          <w:noProof/>
          <w:sz w:val="22"/>
          <w:szCs w:val="22"/>
          <w:lang w:val="sr-Latn-BA"/>
        </w:rPr>
        <w:t>Realizovani dobici i gubici po osnovu prodaje ulaganja obračunavaju se kao razlika ostvarene prodajne vrijednosti i nabavne vrijednosti.</w:t>
      </w:r>
    </w:p>
    <w:p w14:paraId="2C2A1F2C" w14:textId="77777777" w:rsidR="00CD6ECC" w:rsidRPr="00A13C71" w:rsidRDefault="00CD6ECC" w:rsidP="0067511A">
      <w:pPr>
        <w:ind w:firstLine="720"/>
        <w:jc w:val="both"/>
        <w:rPr>
          <w:rFonts w:ascii="Cambria" w:hAnsi="Cambria"/>
          <w:noProof/>
          <w:sz w:val="22"/>
          <w:szCs w:val="22"/>
          <w:lang w:val="sr-Latn-BA"/>
        </w:rPr>
      </w:pPr>
    </w:p>
    <w:p w14:paraId="7104D2C1" w14:textId="77777777" w:rsidR="0033759C" w:rsidRPr="00A13C71" w:rsidRDefault="0033759C" w:rsidP="0033759C">
      <w:pPr>
        <w:jc w:val="both"/>
        <w:rPr>
          <w:rFonts w:ascii="Cambria" w:hAnsi="Cambria"/>
          <w:b/>
          <w:bCs/>
          <w:i/>
          <w:iCs/>
          <w:noProof/>
          <w:sz w:val="22"/>
          <w:szCs w:val="22"/>
          <w:lang w:val="sr-Latn-BA"/>
        </w:rPr>
      </w:pPr>
      <w:r w:rsidRPr="00A13C71">
        <w:rPr>
          <w:rFonts w:ascii="Cambria" w:hAnsi="Cambria"/>
          <w:b/>
          <w:bCs/>
          <w:i/>
          <w:iCs/>
          <w:noProof/>
          <w:sz w:val="22"/>
          <w:szCs w:val="22"/>
          <w:lang w:val="sr-Latn-BA"/>
        </w:rPr>
        <w:t>Ulaganje i vrednovanje portfelja ulaganja</w:t>
      </w:r>
    </w:p>
    <w:p w14:paraId="61161BF0" w14:textId="77777777" w:rsidR="0033759C" w:rsidRPr="00A13C71" w:rsidRDefault="0033759C" w:rsidP="0033759C">
      <w:pPr>
        <w:jc w:val="both"/>
        <w:rPr>
          <w:rFonts w:ascii="Cambria" w:hAnsi="Cambria"/>
          <w:noProof/>
          <w:sz w:val="22"/>
          <w:szCs w:val="22"/>
          <w:lang w:val="sr-Latn-BA"/>
        </w:rPr>
      </w:pPr>
      <w:r w:rsidRPr="00A13C71">
        <w:rPr>
          <w:rFonts w:ascii="Cambria" w:hAnsi="Cambria"/>
          <w:noProof/>
          <w:sz w:val="22"/>
          <w:szCs w:val="22"/>
          <w:lang w:val="sr-Latn-BA"/>
        </w:rPr>
        <w:t>Utvrđivanje vrijednosti finasijskih sredstava fonda vrši se u skladu sa:</w:t>
      </w:r>
    </w:p>
    <w:p w14:paraId="283AC0B2" w14:textId="77777777" w:rsidR="0033759C" w:rsidRPr="00A13C71" w:rsidRDefault="0033759C" w:rsidP="0033759C">
      <w:pPr>
        <w:jc w:val="both"/>
        <w:rPr>
          <w:rFonts w:ascii="Cambria" w:hAnsi="Cambria"/>
          <w:noProof/>
          <w:sz w:val="22"/>
          <w:szCs w:val="22"/>
          <w:lang w:val="sr-Latn-BA"/>
        </w:rPr>
      </w:pPr>
      <w:r w:rsidRPr="00A13C71">
        <w:rPr>
          <w:rFonts w:ascii="Cambria" w:hAnsi="Cambria"/>
          <w:noProof/>
          <w:sz w:val="22"/>
          <w:szCs w:val="22"/>
          <w:lang w:val="sr-Latn-BA"/>
        </w:rPr>
        <w:t>-</w:t>
      </w:r>
      <w:r w:rsidRPr="00A13C71">
        <w:rPr>
          <w:rFonts w:ascii="Cambria" w:hAnsi="Cambria"/>
          <w:noProof/>
          <w:sz w:val="22"/>
          <w:szCs w:val="22"/>
          <w:lang w:val="sr-Latn-BA"/>
        </w:rPr>
        <w:tab/>
        <w:t xml:space="preserve">Međunarodnim računovodstvenim standardima (MRS), </w:t>
      </w:r>
    </w:p>
    <w:p w14:paraId="70FF45D3" w14:textId="77777777" w:rsidR="0033759C" w:rsidRPr="00A13C71" w:rsidRDefault="0033759C" w:rsidP="0033759C">
      <w:pPr>
        <w:jc w:val="both"/>
        <w:rPr>
          <w:rFonts w:ascii="Cambria" w:hAnsi="Cambria"/>
          <w:noProof/>
          <w:sz w:val="22"/>
          <w:szCs w:val="22"/>
          <w:lang w:val="sr-Latn-BA"/>
        </w:rPr>
      </w:pPr>
      <w:r w:rsidRPr="00A13C71">
        <w:rPr>
          <w:rFonts w:ascii="Cambria" w:hAnsi="Cambria"/>
          <w:noProof/>
          <w:sz w:val="22"/>
          <w:szCs w:val="22"/>
          <w:lang w:val="sr-Latn-BA"/>
        </w:rPr>
        <w:t>-</w:t>
      </w:r>
      <w:r w:rsidRPr="00A13C71">
        <w:rPr>
          <w:rFonts w:ascii="Cambria" w:hAnsi="Cambria"/>
          <w:noProof/>
          <w:sz w:val="22"/>
          <w:szCs w:val="22"/>
          <w:lang w:val="sr-Latn-BA"/>
        </w:rPr>
        <w:tab/>
        <w:t>Međunarodnim standardima finansijskog izvještavanja (MSFI).</w:t>
      </w:r>
    </w:p>
    <w:p w14:paraId="0C26B5B4" w14:textId="792A83C3" w:rsidR="0033759C" w:rsidRPr="00A13C71" w:rsidRDefault="0033759C" w:rsidP="0033759C">
      <w:pPr>
        <w:jc w:val="both"/>
        <w:rPr>
          <w:rFonts w:ascii="Cambria" w:hAnsi="Cambria"/>
          <w:noProof/>
          <w:sz w:val="22"/>
          <w:szCs w:val="22"/>
          <w:lang w:val="sr-Latn-BA"/>
        </w:rPr>
      </w:pPr>
      <w:r w:rsidRPr="00A13C71">
        <w:rPr>
          <w:rFonts w:ascii="Cambria" w:hAnsi="Cambria"/>
          <w:noProof/>
          <w:sz w:val="22"/>
          <w:szCs w:val="22"/>
          <w:lang w:val="sr-Latn-BA"/>
        </w:rPr>
        <w:t>-</w:t>
      </w:r>
      <w:r w:rsidRPr="00A13C71">
        <w:rPr>
          <w:rFonts w:ascii="Cambria" w:hAnsi="Cambria"/>
          <w:noProof/>
          <w:sz w:val="22"/>
          <w:szCs w:val="22"/>
          <w:lang w:val="sr-Latn-BA"/>
        </w:rPr>
        <w:tab/>
        <w:t xml:space="preserve">Pravilnikom o utvrđivanju vrijednosti imovine investicionog fonda i obračunu neto vrijednosti imovine po udjelu ili po akciji investicionog fonda te u skladu sa Zakonom o investicionim </w:t>
      </w:r>
      <w:r w:rsidR="009A1CE4" w:rsidRPr="00A13C71">
        <w:rPr>
          <w:rFonts w:ascii="Cambria" w:hAnsi="Cambria"/>
          <w:noProof/>
          <w:sz w:val="22"/>
          <w:szCs w:val="22"/>
          <w:lang w:val="sr-Latn-BA"/>
        </w:rPr>
        <w:t>f</w:t>
      </w:r>
      <w:r w:rsidRPr="00A13C71">
        <w:rPr>
          <w:rFonts w:ascii="Cambria" w:hAnsi="Cambria"/>
          <w:noProof/>
          <w:sz w:val="22"/>
          <w:szCs w:val="22"/>
          <w:lang w:val="sr-Latn-BA"/>
        </w:rPr>
        <w:t>ondovima.</w:t>
      </w:r>
    </w:p>
    <w:p w14:paraId="7EB6B6A5" w14:textId="77777777" w:rsidR="00ED6703" w:rsidRPr="00A13C71" w:rsidRDefault="00ED6703" w:rsidP="00233DD1">
      <w:pPr>
        <w:autoSpaceDE w:val="0"/>
        <w:autoSpaceDN w:val="0"/>
        <w:adjustRightInd w:val="0"/>
        <w:rPr>
          <w:rFonts w:ascii="Cambria" w:hAnsi="Cambria" w:cs="Tahoma"/>
          <w:noProof/>
          <w:color w:val="000000"/>
          <w:sz w:val="22"/>
          <w:szCs w:val="22"/>
          <w:lang w:val="sr-Latn-BA"/>
        </w:rPr>
      </w:pPr>
    </w:p>
    <w:p w14:paraId="673C11DD" w14:textId="1D6EC31B" w:rsidR="00233DD1" w:rsidRPr="00A13C71" w:rsidRDefault="00233DD1" w:rsidP="00233DD1">
      <w:pPr>
        <w:autoSpaceDE w:val="0"/>
        <w:autoSpaceDN w:val="0"/>
        <w:adjustRightInd w:val="0"/>
        <w:rPr>
          <w:rFonts w:ascii="Cambria" w:hAnsi="Cambria" w:cs="Tahoma"/>
          <w:noProof/>
          <w:color w:val="000000"/>
          <w:sz w:val="22"/>
          <w:szCs w:val="22"/>
          <w:lang w:val="sr-Latn-BA"/>
        </w:rPr>
      </w:pPr>
      <w:r w:rsidRPr="00A13C71">
        <w:rPr>
          <w:rFonts w:ascii="Cambria" w:hAnsi="Cambria" w:cs="Tahoma"/>
          <w:noProof/>
          <w:color w:val="000000"/>
          <w:sz w:val="22"/>
          <w:szCs w:val="22"/>
          <w:lang w:val="sr-Latn-BA"/>
        </w:rPr>
        <w:t xml:space="preserve">Klasifikacija </w:t>
      </w:r>
    </w:p>
    <w:p w14:paraId="3628D464" w14:textId="5768DA17" w:rsidR="007C6E38" w:rsidRPr="00A13C71" w:rsidRDefault="007C6E38" w:rsidP="007C6E38">
      <w:pPr>
        <w:jc w:val="both"/>
        <w:rPr>
          <w:rFonts w:ascii="Cambria" w:hAnsi="Cambria" w:cs="Tahoma"/>
          <w:noProof/>
          <w:sz w:val="22"/>
          <w:szCs w:val="22"/>
          <w:lang w:val="sr-Latn-BA"/>
        </w:rPr>
      </w:pPr>
      <w:bookmarkStart w:id="3" w:name="_Hlk115077256"/>
      <w:bookmarkStart w:id="4" w:name="_Hlk77598128"/>
      <w:bookmarkStart w:id="5" w:name="_Hlk77596617"/>
    </w:p>
    <w:p w14:paraId="74FDF339" w14:textId="5BB126C2" w:rsidR="007C6E38" w:rsidRPr="00A13C71" w:rsidRDefault="007C6E38" w:rsidP="007C6E38">
      <w:pPr>
        <w:ind w:firstLine="720"/>
        <w:jc w:val="both"/>
        <w:rPr>
          <w:rFonts w:ascii="Cambria" w:hAnsi="Cambria" w:cs="Tahoma"/>
          <w:noProof/>
          <w:sz w:val="22"/>
          <w:szCs w:val="22"/>
          <w:lang w:val="sr-Latn-BA"/>
        </w:rPr>
      </w:pPr>
      <w:r w:rsidRPr="00A13C71">
        <w:rPr>
          <w:rFonts w:ascii="Cambria" w:hAnsi="Cambria" w:cs="Tahoma"/>
          <w:noProof/>
          <w:sz w:val="22"/>
          <w:szCs w:val="22"/>
          <w:lang w:val="sr-Latn-BA"/>
        </w:rPr>
        <w:t xml:space="preserve">Rukovodstvo Društva je donijelo odluku o prvoj primjeni MSRI 9 , prema kojoj je iskorištena mogućnost data standardom da se investicije u instrumente kapitala koje su do dana prve primjene bile klasifikovane kao raspoložive za prodaju, primjenom MSRI 9 vrednuju po fer vrijednosti kroz ostali ukupan rezultat. Imajući u vidu da se, u skladu sa MSFI 9, klasifikacija hartija od vrijednosti vrši na nivou instrumenta, sve naknadno stečene hartije od vrijednosti će, takođe, biti klasifikovane </w:t>
      </w:r>
      <w:bookmarkStart w:id="6" w:name="_Hlk114735385"/>
      <w:r w:rsidRPr="00A13C71">
        <w:rPr>
          <w:rFonts w:ascii="Cambria" w:hAnsi="Cambria" w:cs="Tahoma"/>
          <w:noProof/>
          <w:sz w:val="22"/>
          <w:szCs w:val="22"/>
          <w:lang w:val="sr-Latn-BA"/>
        </w:rPr>
        <w:t>kao „Finansijska sredstva po fer vrijednosti kroz ostali ukupan rezultat“</w:t>
      </w:r>
      <w:bookmarkEnd w:id="6"/>
      <w:r w:rsidRPr="00A13C71">
        <w:rPr>
          <w:rFonts w:ascii="Cambria" w:hAnsi="Cambria" w:cs="Tahoma"/>
          <w:noProof/>
          <w:sz w:val="22"/>
          <w:szCs w:val="22"/>
          <w:lang w:val="sr-Latn-BA"/>
        </w:rPr>
        <w:t>.</w:t>
      </w:r>
    </w:p>
    <w:bookmarkEnd w:id="3"/>
    <w:p w14:paraId="7E83268F" w14:textId="77777777" w:rsidR="0060088B" w:rsidRPr="00A13C71" w:rsidRDefault="0060088B" w:rsidP="00233DD1">
      <w:pPr>
        <w:autoSpaceDE w:val="0"/>
        <w:autoSpaceDN w:val="0"/>
        <w:adjustRightInd w:val="0"/>
        <w:rPr>
          <w:rFonts w:ascii="Cambria" w:hAnsi="Cambria" w:cs="Tahoma"/>
          <w:noProof/>
          <w:color w:val="000000"/>
          <w:sz w:val="22"/>
          <w:szCs w:val="22"/>
          <w:lang w:val="sr-Latn-BA"/>
        </w:rPr>
      </w:pPr>
    </w:p>
    <w:p w14:paraId="66338CCD" w14:textId="418342FD" w:rsidR="00233DD1" w:rsidRPr="00A13C71" w:rsidRDefault="00233DD1" w:rsidP="00233DD1">
      <w:pPr>
        <w:autoSpaceDE w:val="0"/>
        <w:autoSpaceDN w:val="0"/>
        <w:adjustRightInd w:val="0"/>
        <w:rPr>
          <w:rFonts w:ascii="Cambria" w:hAnsi="Cambria" w:cs="Tahoma"/>
          <w:noProof/>
          <w:color w:val="000000"/>
          <w:sz w:val="22"/>
          <w:szCs w:val="22"/>
          <w:lang w:val="sr-Latn-BA"/>
        </w:rPr>
      </w:pPr>
      <w:r w:rsidRPr="00A13C71">
        <w:rPr>
          <w:rFonts w:ascii="Cambria" w:hAnsi="Cambria" w:cs="Tahoma"/>
          <w:noProof/>
          <w:color w:val="000000"/>
          <w:sz w:val="22"/>
          <w:szCs w:val="22"/>
          <w:lang w:val="sr-Latn-BA"/>
        </w:rPr>
        <w:t xml:space="preserve">U skladu sa MSFI 9, finansijska sredstva </w:t>
      </w:r>
      <w:r w:rsidR="0067511A" w:rsidRPr="00A13C71">
        <w:rPr>
          <w:rFonts w:ascii="Cambria" w:hAnsi="Cambria" w:cs="Tahoma"/>
          <w:noProof/>
          <w:color w:val="000000"/>
          <w:sz w:val="22"/>
          <w:szCs w:val="22"/>
          <w:lang w:val="sr-Latn-BA"/>
        </w:rPr>
        <w:t>Fonda</w:t>
      </w:r>
      <w:r w:rsidRPr="00A13C71">
        <w:rPr>
          <w:rFonts w:ascii="Cambria" w:hAnsi="Cambria" w:cs="Tahoma"/>
          <w:noProof/>
          <w:color w:val="000000"/>
          <w:sz w:val="22"/>
          <w:szCs w:val="22"/>
          <w:lang w:val="sr-Latn-BA"/>
        </w:rPr>
        <w:t xml:space="preserve"> odmjeravaju se: </w:t>
      </w:r>
    </w:p>
    <w:p w14:paraId="62AD74AE" w14:textId="77777777" w:rsidR="00233DD1" w:rsidRPr="00A13C71" w:rsidRDefault="00233DD1" w:rsidP="0067511A">
      <w:pPr>
        <w:autoSpaceDE w:val="0"/>
        <w:autoSpaceDN w:val="0"/>
        <w:adjustRightInd w:val="0"/>
        <w:spacing w:after="22"/>
        <w:ind w:firstLine="720"/>
        <w:rPr>
          <w:rFonts w:ascii="Cambria" w:hAnsi="Cambria" w:cs="Tahoma"/>
          <w:noProof/>
          <w:color w:val="000000"/>
          <w:sz w:val="22"/>
          <w:szCs w:val="22"/>
          <w:lang w:val="sr-Latn-BA"/>
        </w:rPr>
      </w:pPr>
      <w:r w:rsidRPr="00A13C71">
        <w:rPr>
          <w:rFonts w:ascii="Cambria" w:hAnsi="Cambria" w:cs="Tahoma"/>
          <w:noProof/>
          <w:color w:val="000000"/>
          <w:sz w:val="22"/>
          <w:szCs w:val="22"/>
          <w:lang w:val="sr-Latn-BA"/>
        </w:rPr>
        <w:t xml:space="preserve">• po amortizovanoj vrijednosti, u visini ocekivanih buducih tokova gotovine, </w:t>
      </w:r>
    </w:p>
    <w:p w14:paraId="336219BE" w14:textId="77777777" w:rsidR="00233DD1" w:rsidRPr="00A13C71" w:rsidRDefault="00233DD1" w:rsidP="0067511A">
      <w:pPr>
        <w:autoSpaceDE w:val="0"/>
        <w:autoSpaceDN w:val="0"/>
        <w:adjustRightInd w:val="0"/>
        <w:spacing w:after="22"/>
        <w:ind w:firstLine="720"/>
        <w:rPr>
          <w:rFonts w:ascii="Cambria" w:hAnsi="Cambria" w:cs="Tahoma"/>
          <w:noProof/>
          <w:color w:val="000000"/>
          <w:sz w:val="22"/>
          <w:szCs w:val="22"/>
          <w:lang w:val="sr-Latn-BA"/>
        </w:rPr>
      </w:pPr>
      <w:r w:rsidRPr="00A13C71">
        <w:rPr>
          <w:rFonts w:ascii="Cambria" w:hAnsi="Cambria" w:cs="Tahoma"/>
          <w:noProof/>
          <w:color w:val="000000"/>
          <w:sz w:val="22"/>
          <w:szCs w:val="22"/>
          <w:lang w:val="sr-Latn-BA"/>
        </w:rPr>
        <w:t xml:space="preserve">• po fer vrijednosti kroz ostali ukupan rezultat ili </w:t>
      </w:r>
    </w:p>
    <w:p w14:paraId="55826264" w14:textId="77777777" w:rsidR="00233DD1" w:rsidRPr="00A13C71" w:rsidRDefault="00233DD1" w:rsidP="0067511A">
      <w:pPr>
        <w:autoSpaceDE w:val="0"/>
        <w:autoSpaceDN w:val="0"/>
        <w:adjustRightInd w:val="0"/>
        <w:ind w:firstLine="720"/>
        <w:rPr>
          <w:rFonts w:ascii="Cambria" w:hAnsi="Cambria" w:cs="Tahoma"/>
          <w:noProof/>
          <w:color w:val="000000"/>
          <w:sz w:val="22"/>
          <w:szCs w:val="22"/>
          <w:lang w:val="sr-Latn-BA"/>
        </w:rPr>
      </w:pPr>
      <w:r w:rsidRPr="00A13C71">
        <w:rPr>
          <w:rFonts w:ascii="Cambria" w:hAnsi="Cambria" w:cs="Tahoma"/>
          <w:noProof/>
          <w:color w:val="000000"/>
          <w:sz w:val="22"/>
          <w:szCs w:val="22"/>
          <w:lang w:val="sr-Latn-BA"/>
        </w:rPr>
        <w:t xml:space="preserve">• po fer vrijednosti kroz bilans uspjeha. </w:t>
      </w:r>
    </w:p>
    <w:bookmarkEnd w:id="4"/>
    <w:p w14:paraId="06058467" w14:textId="77777777" w:rsidR="00233DD1" w:rsidRPr="00A13C71" w:rsidRDefault="00233DD1" w:rsidP="00233DD1">
      <w:pPr>
        <w:autoSpaceDE w:val="0"/>
        <w:autoSpaceDN w:val="0"/>
        <w:adjustRightInd w:val="0"/>
        <w:rPr>
          <w:rFonts w:ascii="Cambria" w:hAnsi="Cambria" w:cs="Tahoma"/>
          <w:noProof/>
          <w:color w:val="000000"/>
          <w:sz w:val="22"/>
          <w:szCs w:val="22"/>
          <w:lang w:val="sr-Latn-BA"/>
        </w:rPr>
      </w:pPr>
    </w:p>
    <w:bookmarkEnd w:id="5"/>
    <w:p w14:paraId="71599C95" w14:textId="61617B73" w:rsidR="0033759C" w:rsidRPr="00A13C71" w:rsidRDefault="0033759C" w:rsidP="00055F25">
      <w:pPr>
        <w:ind w:firstLine="720"/>
        <w:jc w:val="both"/>
        <w:rPr>
          <w:rFonts w:ascii="Cambria" w:hAnsi="Cambria"/>
          <w:noProof/>
          <w:sz w:val="22"/>
          <w:szCs w:val="22"/>
          <w:lang w:val="sr-Latn-BA"/>
        </w:rPr>
      </w:pPr>
      <w:r w:rsidRPr="00A13C71">
        <w:rPr>
          <w:rFonts w:ascii="Cambria" w:hAnsi="Cambria"/>
          <w:noProof/>
          <w:sz w:val="22"/>
          <w:szCs w:val="22"/>
          <w:lang w:val="sr-Latn-BA"/>
        </w:rPr>
        <w:t xml:space="preserve">Početno priznavanje finansijskih sredstava raspoloživih za prodaju vrši se po kupovnoj cijeni, na dan trgovanja, </w:t>
      </w:r>
      <w:r w:rsidR="00F743AF" w:rsidRPr="00A13C71">
        <w:rPr>
          <w:noProof/>
          <w:sz w:val="23"/>
          <w:szCs w:val="23"/>
          <w:lang w:val="sr-Latn-BA"/>
        </w:rPr>
        <w:t>gdje se kod sredstava klasifikovanih kroz bilans stanja u cijenu pojedinačne transakcije uključuju transakcioni troškovi koji su direktno povezani sa sticanjem finansijskog sredstava, a kod finansijske imovine klasifikovane kroz bilans uspjeha direktno priznaju u trošku sticanja</w:t>
      </w:r>
      <w:r w:rsidRPr="00A13C71">
        <w:rPr>
          <w:rFonts w:ascii="Cambria" w:hAnsi="Cambria"/>
          <w:noProof/>
          <w:sz w:val="22"/>
          <w:szCs w:val="22"/>
          <w:lang w:val="sr-Latn-BA"/>
        </w:rPr>
        <w:t>.</w:t>
      </w:r>
    </w:p>
    <w:p w14:paraId="15D8EC7A" w14:textId="72317C6B"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Naknadno vrednovanje finansijskih sredstava raspoloživih za prodaju vrši se po fer vrijednosti na dan bilansiranja koje vrednovanje uključuje povećanje odnosno smanjenje vrijednosti sredstava preko ispravke njihove vrijednosti i povećanje odnosno smanjenje vrijednosti kapitala preko revalorizacionih rezervi iskazanih u bilansu stanja</w:t>
      </w:r>
      <w:r w:rsidR="00837BE3" w:rsidRPr="00A13C71">
        <w:rPr>
          <w:rFonts w:ascii="Cambria" w:hAnsi="Cambria"/>
          <w:noProof/>
          <w:sz w:val="22"/>
          <w:szCs w:val="22"/>
          <w:lang w:val="sr-Latn-BA"/>
        </w:rPr>
        <w:t>, odnosno nerealizovanih dobitaka ili gubitaka iskazanih u bilansu uspjeha zavisno od toga kako je finansijsko sredstvo klasifikovano.</w:t>
      </w:r>
    </w:p>
    <w:p w14:paraId="7401B353" w14:textId="2A17C7EB" w:rsidR="0033759C" w:rsidRPr="00A13C71" w:rsidRDefault="0033759C" w:rsidP="00BB0293">
      <w:pPr>
        <w:ind w:firstLine="720"/>
        <w:jc w:val="both"/>
        <w:rPr>
          <w:rFonts w:ascii="Cambria" w:hAnsi="Cambria"/>
          <w:strike/>
          <w:noProof/>
          <w:sz w:val="22"/>
          <w:szCs w:val="22"/>
          <w:lang w:val="sr-Latn-BA"/>
        </w:rPr>
      </w:pPr>
      <w:r w:rsidRPr="00A13C71">
        <w:rPr>
          <w:rFonts w:ascii="Cambria" w:hAnsi="Cambria"/>
          <w:noProof/>
          <w:sz w:val="22"/>
          <w:szCs w:val="22"/>
          <w:lang w:val="sr-Latn-BA"/>
        </w:rPr>
        <w:t xml:space="preserve">Za hartije od vrijednosti koje su pribavljene u stranoj valuti za denominaciju u izvještajnu valutu primjenjivan je srednji kurs Centralne banke Bosne i Hercegovine važeći na dan transakcije. </w:t>
      </w:r>
    </w:p>
    <w:p w14:paraId="1CD976CB" w14:textId="77777777"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Na osnovu važećeg Pravilnika o utvrđivanju vrijednosti imovine investicionih fondova,  imovina fonda vrednuje se na sledeći način:</w:t>
      </w:r>
    </w:p>
    <w:p w14:paraId="1D0A35B5" w14:textId="1BDE03C0"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Za vlasničke hartije od vrijednosti (akcije),</w:t>
      </w:r>
      <w:r w:rsidR="00273EC6" w:rsidRPr="00A13C71">
        <w:rPr>
          <w:rFonts w:ascii="Cambria" w:hAnsi="Cambria"/>
          <w:noProof/>
          <w:sz w:val="22"/>
          <w:szCs w:val="22"/>
          <w:lang w:val="sr-Latn-BA"/>
        </w:rPr>
        <w:t xml:space="preserve"> </w:t>
      </w:r>
      <w:r w:rsidRPr="00A13C71">
        <w:rPr>
          <w:rFonts w:ascii="Cambria" w:hAnsi="Cambria"/>
          <w:noProof/>
          <w:sz w:val="22"/>
          <w:szCs w:val="22"/>
          <w:lang w:val="sr-Latn-BA"/>
        </w:rPr>
        <w:t xml:space="preserve">kojima se trguje na tržištu Republike Srpske i Federacije Bosne i Hercegovine, fer vrijednost na dan utvrđivanja vrijednosti imovine se računa primjenom prosječne ponderisane cijene za ostvarene transakcije na berzi u poslednjih 10 dana  kad je bilo trgovanja određenom vlasničkom hartijom u poslednjoj godini. </w:t>
      </w:r>
    </w:p>
    <w:p w14:paraId="2BBB2670" w14:textId="77777777"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 xml:space="preserve">U slučaju da nije bilo najmanje 10 dana trgovanja u godini fer vrijednost se utvrđuje u iznosu koji je manji od procjenjene vrijednosti ili poslednje ponderisane tržišne cijene kada je bilo trgovanje </w:t>
      </w:r>
    </w:p>
    <w:p w14:paraId="358281A1" w14:textId="77777777"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 xml:space="preserve">Vlasničke hartije od vrijednosti (akcije) kojima se trguje u inostranstvu na uređenim tržištima u državi članici EU,OECD I CEFTA fer vrijednost se izračunava na osnovu poslednje cijene ostvarene tog dana na matičnoj berzi emitenta ili berzi koja je definisana kao primarni izvor cijene odnosne hartije od vrijednosti koja je uvrštena na berzansko tržište. </w:t>
      </w:r>
    </w:p>
    <w:p w14:paraId="6AB3DA06" w14:textId="77777777" w:rsidR="0033759C" w:rsidRPr="00A13C71" w:rsidRDefault="0033759C" w:rsidP="00F743AF">
      <w:pPr>
        <w:jc w:val="both"/>
        <w:rPr>
          <w:rFonts w:ascii="Cambria" w:hAnsi="Cambria"/>
          <w:noProof/>
          <w:sz w:val="22"/>
          <w:szCs w:val="22"/>
          <w:lang w:val="sr-Latn-BA"/>
        </w:rPr>
      </w:pPr>
      <w:r w:rsidRPr="00A13C71">
        <w:rPr>
          <w:rFonts w:ascii="Cambria" w:hAnsi="Cambria"/>
          <w:noProof/>
          <w:sz w:val="22"/>
          <w:szCs w:val="22"/>
          <w:lang w:val="sr-Latn-BA"/>
        </w:rPr>
        <w:lastRenderedPageBreak/>
        <w:t xml:space="preserve">U slučaju trgovanja na uređenim tržištima izvan tržišta država članica EU,OECD I CEFTA, fer vrijednost vlasničkih hartija izračunava se na osnovu ponderisane prosiječne cijene te hartije na berzanskom tržištu ostvarenih na dan vrednovanja. </w:t>
      </w:r>
    </w:p>
    <w:p w14:paraId="10BFFE89" w14:textId="77777777" w:rsidR="0033759C" w:rsidRPr="00A13C71" w:rsidRDefault="0033759C" w:rsidP="00F743AF">
      <w:pPr>
        <w:jc w:val="both"/>
        <w:rPr>
          <w:rFonts w:ascii="Cambria" w:hAnsi="Cambria"/>
          <w:noProof/>
          <w:sz w:val="22"/>
          <w:szCs w:val="22"/>
          <w:lang w:val="sr-Latn-BA"/>
        </w:rPr>
      </w:pPr>
      <w:r w:rsidRPr="00A13C71">
        <w:rPr>
          <w:rFonts w:ascii="Cambria" w:hAnsi="Cambria"/>
          <w:noProof/>
          <w:sz w:val="22"/>
          <w:szCs w:val="22"/>
          <w:lang w:val="sr-Latn-BA"/>
        </w:rPr>
        <w:t>U slučaju nepostojanja cijene na dan obračuna uzima se poslednja cijena u periodu od 90 dana prije dana vrednovanja. Preračunavanje cijene u konvertibilne marke vrši se po kursnoj listi CB BiH na dan utvrđivanja vrijednosti imovine.</w:t>
      </w:r>
    </w:p>
    <w:p w14:paraId="4CE8590B" w14:textId="77777777" w:rsidR="001A28E9" w:rsidRPr="00A13C71" w:rsidRDefault="001A28E9" w:rsidP="00F743AF">
      <w:pPr>
        <w:jc w:val="both"/>
        <w:rPr>
          <w:rFonts w:ascii="Cambria" w:hAnsi="Cambria"/>
          <w:noProof/>
          <w:sz w:val="22"/>
          <w:szCs w:val="22"/>
          <w:lang w:val="sr-Latn-BA"/>
        </w:rPr>
      </w:pPr>
      <w:r w:rsidRPr="00A13C71">
        <w:rPr>
          <w:rFonts w:ascii="Cambria" w:hAnsi="Cambria"/>
          <w:noProof/>
          <w:sz w:val="22"/>
          <w:szCs w:val="22"/>
          <w:lang w:val="sr-Latn-BA"/>
        </w:rPr>
        <w:t>Ukoliko nije bilo trgovanja u poslednjih 90 dana tada se fer vrijednost utvrđuje diskontovanjem tokova gotovine pri čemu se kao diskontna stopa koristi preovlađujuća tržišna kamatna stopa za te hartije odnosno za dužničke hartije od vrijednosti koje imaju isti ili približan rok dospijeća ili isti kreditni rejting.</w:t>
      </w:r>
    </w:p>
    <w:p w14:paraId="7BE82F8E" w14:textId="41BB6396" w:rsidR="0033759C" w:rsidRPr="00A13C71" w:rsidRDefault="0033759C" w:rsidP="00F743AF">
      <w:pPr>
        <w:jc w:val="both"/>
        <w:rPr>
          <w:rFonts w:ascii="Cambria" w:hAnsi="Cambria"/>
          <w:noProof/>
          <w:sz w:val="22"/>
          <w:szCs w:val="22"/>
          <w:lang w:val="sr-Latn-BA"/>
        </w:rPr>
      </w:pPr>
      <w:r w:rsidRPr="00A13C71">
        <w:rPr>
          <w:rFonts w:ascii="Cambria" w:hAnsi="Cambria"/>
          <w:noProof/>
          <w:sz w:val="22"/>
          <w:szCs w:val="22"/>
          <w:lang w:val="sr-Latn-BA"/>
        </w:rPr>
        <w:t>Udjeli u otvorenim investicionim fondovima vrednuju se po vrijednosti neto imovine po udjelu fonda čiji su udjeli stečeni, a koja je objavljena, odnosno važeća na dan vrednovanja.</w:t>
      </w:r>
    </w:p>
    <w:p w14:paraId="15756668" w14:textId="77777777"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Ako na dan vrednovanja nije bilo objave ili vrijednost po udjelu nije bila dostupna , fer vrijednost stečenog udjela investicionog fonda je cijena udjela od prethodnih dana vrednovanja.</w:t>
      </w:r>
    </w:p>
    <w:p w14:paraId="465DD445" w14:textId="77777777"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Dužničke hartije od vrijednosti kojima se trguje u Republici Srpskoj i Federaciji Bosne i Hercegovine vredniju se primjenom prosječne ponderisane cijene trgovanja postignute na dan vrednovanja, a dužničke hartije kojima se trguje u inostranstvu na tržištima država članica EU,OECD I CEFTA vrednuju se na osnovu poslednje  cijene ostvarene tog dana  na matičnoj berzi emitenta ili berzi koja je definisana kao primarni izvor cijene odnosne hartije koja je uvrštena na berzansko tržište. Dužničke hartije kojima se trguje izvan tržišta zemalja članica EU,OECD I CEFTA vrednuju se po prosječnoj ponderisanoj cijeni te hartije ostvarenoj na berzi na dan vrednovanja.</w:t>
      </w:r>
    </w:p>
    <w:p w14:paraId="18A534C2" w14:textId="77777777"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U slučju nepostojanja cijene na dan vrednovanja uzima se poslednja cijena ostvarena u periodu  od 90 dana prije dana vrednovanja. Preračunavanje cijene u konvertibilne marke vrši se po kursnoj listi CB BiH na dan utvrđivanja vrijednosti imovine.</w:t>
      </w:r>
    </w:p>
    <w:p w14:paraId="7B3C295D" w14:textId="656CEADE"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Vrijednost neto imovine izračunava se svakog dana.</w:t>
      </w:r>
    </w:p>
    <w:p w14:paraId="1E7B2CC7" w14:textId="77777777" w:rsidR="00204447" w:rsidRPr="00A13C71" w:rsidRDefault="00204447" w:rsidP="0033759C">
      <w:pPr>
        <w:jc w:val="both"/>
        <w:rPr>
          <w:rFonts w:ascii="Cambria" w:hAnsi="Cambria"/>
          <w:noProof/>
          <w:sz w:val="22"/>
          <w:szCs w:val="22"/>
          <w:lang w:val="sr-Latn-BA"/>
        </w:rPr>
      </w:pPr>
    </w:p>
    <w:p w14:paraId="4E0BC9F9" w14:textId="77777777" w:rsidR="0033759C" w:rsidRPr="00A13C71" w:rsidRDefault="0033759C" w:rsidP="0033759C">
      <w:pPr>
        <w:jc w:val="both"/>
        <w:rPr>
          <w:rFonts w:ascii="Cambria" w:hAnsi="Cambria"/>
          <w:b/>
          <w:bCs/>
          <w:i/>
          <w:iCs/>
          <w:noProof/>
          <w:sz w:val="22"/>
          <w:szCs w:val="22"/>
          <w:lang w:val="sr-Latn-BA"/>
        </w:rPr>
      </w:pPr>
      <w:r w:rsidRPr="00A13C71">
        <w:rPr>
          <w:rFonts w:ascii="Cambria" w:hAnsi="Cambria"/>
          <w:b/>
          <w:bCs/>
          <w:i/>
          <w:iCs/>
          <w:noProof/>
          <w:sz w:val="22"/>
          <w:szCs w:val="22"/>
          <w:lang w:val="sr-Latn-BA"/>
        </w:rPr>
        <w:t>Gotovina i gotovinski ekvivalenti</w:t>
      </w:r>
    </w:p>
    <w:p w14:paraId="35503298" w14:textId="77777777"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Pod gotovinom i gotovinskim ekvivalentima se podrazumijevaju sredstva na žiro računu i vrednuju se po nominalnoj vrijednosti.</w:t>
      </w:r>
    </w:p>
    <w:p w14:paraId="60B1C297" w14:textId="77777777" w:rsidR="0033759C" w:rsidRPr="00A13C71" w:rsidRDefault="0033759C" w:rsidP="0033759C">
      <w:pPr>
        <w:jc w:val="both"/>
        <w:rPr>
          <w:rFonts w:ascii="Cambria" w:hAnsi="Cambria"/>
          <w:noProof/>
          <w:sz w:val="22"/>
          <w:szCs w:val="22"/>
          <w:lang w:val="sr-Latn-BA"/>
        </w:rPr>
      </w:pPr>
    </w:p>
    <w:p w14:paraId="1E82FEBD" w14:textId="77777777" w:rsidR="0033759C" w:rsidRPr="00A13C71" w:rsidRDefault="0033759C" w:rsidP="0033759C">
      <w:pPr>
        <w:jc w:val="both"/>
        <w:rPr>
          <w:rFonts w:ascii="Cambria" w:hAnsi="Cambria"/>
          <w:b/>
          <w:bCs/>
          <w:i/>
          <w:iCs/>
          <w:noProof/>
          <w:sz w:val="22"/>
          <w:szCs w:val="22"/>
          <w:lang w:val="sr-Latn-BA"/>
        </w:rPr>
      </w:pPr>
      <w:r w:rsidRPr="00A13C71">
        <w:rPr>
          <w:rFonts w:ascii="Cambria" w:hAnsi="Cambria"/>
          <w:b/>
          <w:bCs/>
          <w:i/>
          <w:iCs/>
          <w:noProof/>
          <w:sz w:val="22"/>
          <w:szCs w:val="22"/>
          <w:lang w:val="sr-Latn-BA"/>
        </w:rPr>
        <w:t>Potraživanje po osnovu prodaje finansijskih sredstava</w:t>
      </w:r>
    </w:p>
    <w:p w14:paraId="22735102" w14:textId="77777777"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Na dan transakcije prodaje u imovini fonda instrumenat se prestaje priznavati, a potraživanje za zaključenu prodaju se počinje priznavati.</w:t>
      </w:r>
    </w:p>
    <w:p w14:paraId="3CF783FB" w14:textId="77777777" w:rsidR="0033759C" w:rsidRPr="00A13C71" w:rsidRDefault="0033759C" w:rsidP="0033759C">
      <w:pPr>
        <w:jc w:val="both"/>
        <w:rPr>
          <w:rFonts w:ascii="Cambria" w:hAnsi="Cambria"/>
          <w:noProof/>
          <w:sz w:val="22"/>
          <w:szCs w:val="22"/>
          <w:lang w:val="sr-Latn-BA"/>
        </w:rPr>
      </w:pPr>
    </w:p>
    <w:p w14:paraId="7E8F0E3E" w14:textId="77777777" w:rsidR="0033759C" w:rsidRPr="00A13C71" w:rsidRDefault="0033759C" w:rsidP="0033759C">
      <w:pPr>
        <w:jc w:val="both"/>
        <w:rPr>
          <w:rFonts w:ascii="Cambria" w:hAnsi="Cambria"/>
          <w:b/>
          <w:bCs/>
          <w:i/>
          <w:iCs/>
          <w:noProof/>
          <w:sz w:val="22"/>
          <w:szCs w:val="22"/>
          <w:lang w:val="sr-Latn-BA"/>
        </w:rPr>
      </w:pPr>
      <w:r w:rsidRPr="00A13C71">
        <w:rPr>
          <w:rFonts w:ascii="Cambria" w:hAnsi="Cambria"/>
          <w:b/>
          <w:bCs/>
          <w:i/>
          <w:iCs/>
          <w:noProof/>
          <w:sz w:val="22"/>
          <w:szCs w:val="22"/>
          <w:lang w:val="sr-Latn-BA"/>
        </w:rPr>
        <w:t>Aktivna vremenska razgraničenja</w:t>
      </w:r>
    </w:p>
    <w:p w14:paraId="51226D76" w14:textId="77777777"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U ovoj grupi se evidentiraju unaprijed plaćeni troškovi i obračunati prihodi koji se odnose na obračunski period a dospijevaju na naplatu po isteku obračunskog perioda.</w:t>
      </w:r>
    </w:p>
    <w:p w14:paraId="30CE3B55" w14:textId="77777777" w:rsidR="0033759C" w:rsidRPr="00A13C71" w:rsidRDefault="0033759C" w:rsidP="0033759C">
      <w:pPr>
        <w:jc w:val="both"/>
        <w:rPr>
          <w:rFonts w:ascii="Cambria" w:hAnsi="Cambria"/>
          <w:noProof/>
          <w:sz w:val="22"/>
          <w:szCs w:val="22"/>
          <w:lang w:val="sr-Latn-BA"/>
        </w:rPr>
      </w:pPr>
    </w:p>
    <w:p w14:paraId="4C303E89" w14:textId="77777777" w:rsidR="0033759C" w:rsidRPr="00A13C71" w:rsidRDefault="0033759C" w:rsidP="0033759C">
      <w:pPr>
        <w:jc w:val="both"/>
        <w:rPr>
          <w:rFonts w:ascii="Cambria" w:hAnsi="Cambria"/>
          <w:b/>
          <w:bCs/>
          <w:i/>
          <w:iCs/>
          <w:noProof/>
          <w:sz w:val="22"/>
          <w:szCs w:val="22"/>
          <w:lang w:val="sr-Latn-BA"/>
        </w:rPr>
      </w:pPr>
      <w:r w:rsidRPr="00A13C71">
        <w:rPr>
          <w:rFonts w:ascii="Cambria" w:hAnsi="Cambria"/>
          <w:b/>
          <w:bCs/>
          <w:i/>
          <w:iCs/>
          <w:noProof/>
          <w:sz w:val="22"/>
          <w:szCs w:val="22"/>
          <w:lang w:val="sr-Latn-BA"/>
        </w:rPr>
        <w:t>Obaveze po osnovu kupovine finansijskih sredstava</w:t>
      </w:r>
    </w:p>
    <w:p w14:paraId="71DBE176" w14:textId="77777777"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Kupovina finansijskih sredstava uključuje se u vrednovanje imovine fonda na dan kupovine transakcije. Zaključena transakcija kupovine priznaje se u imovini fonda prema klasifikaciji finansijskih sredstava  uz istovremeno formiranje obaveze za poravnanje.</w:t>
      </w:r>
    </w:p>
    <w:p w14:paraId="1B65736A" w14:textId="77777777"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Obaveze u stranoj valuti procjenju se po srednjem kursu strane valute na dan bilansa. Zastarjele obaveze isknjižavaju se u korist prihoda.</w:t>
      </w:r>
    </w:p>
    <w:p w14:paraId="1E09739D" w14:textId="77777777" w:rsidR="0033759C" w:rsidRPr="00A13C71" w:rsidRDefault="0033759C" w:rsidP="0033759C">
      <w:pPr>
        <w:jc w:val="both"/>
        <w:rPr>
          <w:rFonts w:ascii="Cambria" w:hAnsi="Cambria"/>
          <w:noProof/>
          <w:sz w:val="22"/>
          <w:szCs w:val="22"/>
          <w:lang w:val="sr-Latn-BA"/>
        </w:rPr>
      </w:pPr>
    </w:p>
    <w:p w14:paraId="6BA51A29" w14:textId="77777777" w:rsidR="0033759C" w:rsidRPr="00A13C71" w:rsidRDefault="0033759C" w:rsidP="0033759C">
      <w:pPr>
        <w:jc w:val="both"/>
        <w:rPr>
          <w:rFonts w:ascii="Cambria" w:hAnsi="Cambria"/>
          <w:b/>
          <w:bCs/>
          <w:i/>
          <w:iCs/>
          <w:noProof/>
          <w:sz w:val="22"/>
          <w:szCs w:val="22"/>
          <w:lang w:val="sr-Latn-BA"/>
        </w:rPr>
      </w:pPr>
      <w:r w:rsidRPr="00A13C71">
        <w:rPr>
          <w:rFonts w:ascii="Cambria" w:hAnsi="Cambria"/>
          <w:b/>
          <w:bCs/>
          <w:i/>
          <w:iCs/>
          <w:noProof/>
          <w:sz w:val="22"/>
          <w:szCs w:val="22"/>
          <w:lang w:val="sr-Latn-BA"/>
        </w:rPr>
        <w:t>Povezana lica fonda</w:t>
      </w:r>
    </w:p>
    <w:p w14:paraId="37E985B7" w14:textId="6D5D59BC"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U skladu sa odredbama Zakona o investicionim fondovima pod povezanim licima fonda se smatraju:</w:t>
      </w:r>
    </w:p>
    <w:p w14:paraId="14BB89D6" w14:textId="77777777"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  društvo za upravljanje , zaposleni i lica u organima društva,</w:t>
      </w:r>
    </w:p>
    <w:p w14:paraId="79A38DBD" w14:textId="3475676E"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  banka depozitar,</w:t>
      </w:r>
    </w:p>
    <w:p w14:paraId="128171F1" w14:textId="77777777"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  advokat odnosno advokatska kancelarija,</w:t>
      </w:r>
    </w:p>
    <w:p w14:paraId="21884819" w14:textId="383F4031"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 xml:space="preserve">-  revizor i poreski savjetnik koji se nalaze u ugovornom odnosu po osnovu pružanja usluga </w:t>
      </w:r>
      <w:r w:rsidR="00CF531E" w:rsidRPr="00A13C71">
        <w:rPr>
          <w:rFonts w:ascii="Cambria" w:hAnsi="Cambria"/>
          <w:noProof/>
          <w:sz w:val="22"/>
          <w:szCs w:val="22"/>
          <w:lang w:val="sr-Latn-BA"/>
        </w:rPr>
        <w:t xml:space="preserve"> </w:t>
      </w:r>
      <w:r w:rsidRPr="00A13C71">
        <w:rPr>
          <w:rFonts w:ascii="Cambria" w:hAnsi="Cambria"/>
          <w:noProof/>
          <w:sz w:val="22"/>
          <w:szCs w:val="22"/>
          <w:lang w:val="sr-Latn-BA"/>
        </w:rPr>
        <w:t xml:space="preserve">   fondu,</w:t>
      </w:r>
    </w:p>
    <w:p w14:paraId="0442A2A7" w14:textId="77777777"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 xml:space="preserve">-  svako drugo lice koje je u prethodne dvije kalendarske godine zaključilo ugovor o obavljanju </w:t>
      </w:r>
    </w:p>
    <w:p w14:paraId="0B66A3A8" w14:textId="647168A5" w:rsidR="0033759C" w:rsidRPr="00A13C71" w:rsidRDefault="0033759C" w:rsidP="00BB0293">
      <w:pPr>
        <w:ind w:firstLine="720"/>
        <w:rPr>
          <w:rFonts w:ascii="Cambria" w:hAnsi="Cambria"/>
          <w:noProof/>
          <w:sz w:val="22"/>
          <w:szCs w:val="22"/>
          <w:lang w:val="sr-Latn-BA"/>
        </w:rPr>
      </w:pPr>
      <w:r w:rsidRPr="00A13C71">
        <w:rPr>
          <w:rFonts w:ascii="Cambria" w:hAnsi="Cambria"/>
          <w:noProof/>
          <w:sz w:val="22"/>
          <w:szCs w:val="22"/>
          <w:lang w:val="sr-Latn-BA"/>
        </w:rPr>
        <w:t xml:space="preserve">   usluga za potrebe fonda.</w:t>
      </w:r>
    </w:p>
    <w:p w14:paraId="50171B1A" w14:textId="77777777" w:rsidR="008B7ABE" w:rsidRDefault="008B7ABE" w:rsidP="007A625F">
      <w:pPr>
        <w:pStyle w:val="NoSpacing"/>
        <w:rPr>
          <w:rFonts w:ascii="Cambria" w:hAnsi="Cambria"/>
          <w:b/>
          <w:bCs/>
          <w:noProof/>
          <w:lang w:val="sr-Latn-BA"/>
        </w:rPr>
      </w:pPr>
    </w:p>
    <w:p w14:paraId="7048CE4A" w14:textId="42DA69BC" w:rsidR="0033759C" w:rsidRPr="00A13C71" w:rsidRDefault="0033759C" w:rsidP="007A625F">
      <w:pPr>
        <w:pStyle w:val="NoSpacing"/>
        <w:rPr>
          <w:rFonts w:ascii="Cambria" w:hAnsi="Cambria"/>
          <w:b/>
          <w:bCs/>
          <w:noProof/>
          <w:lang w:val="sr-Latn-BA"/>
        </w:rPr>
      </w:pPr>
      <w:r w:rsidRPr="00A13C71">
        <w:rPr>
          <w:rFonts w:ascii="Cambria" w:hAnsi="Cambria"/>
          <w:b/>
          <w:bCs/>
          <w:noProof/>
          <w:lang w:val="sr-Latn-BA"/>
        </w:rPr>
        <w:lastRenderedPageBreak/>
        <w:t>4.</w:t>
      </w:r>
      <w:r w:rsidRPr="00A13C71">
        <w:rPr>
          <w:rFonts w:ascii="Cambria" w:hAnsi="Cambria"/>
          <w:b/>
          <w:bCs/>
          <w:noProof/>
          <w:lang w:val="sr-Latn-BA"/>
        </w:rPr>
        <w:tab/>
        <w:t>NAPOMENE UZ FINANSIJSKE IZVJEŠTAJE</w:t>
      </w:r>
    </w:p>
    <w:p w14:paraId="046D0021" w14:textId="585886C3" w:rsidR="007A625F" w:rsidRPr="00A13C71" w:rsidRDefault="007A625F" w:rsidP="0033759C">
      <w:pPr>
        <w:jc w:val="both"/>
        <w:rPr>
          <w:rFonts w:ascii="Cambria" w:hAnsi="Cambria"/>
          <w:b/>
          <w:bCs/>
          <w:i/>
          <w:iCs/>
          <w:noProof/>
          <w:sz w:val="22"/>
          <w:szCs w:val="22"/>
          <w:lang w:val="sr-Latn-BA"/>
        </w:rPr>
      </w:pPr>
      <w:bookmarkStart w:id="7" w:name="OLE_LINK3"/>
      <w:bookmarkStart w:id="8" w:name="OLE_LINK7"/>
      <w:bookmarkStart w:id="9" w:name="OLE_LINK15"/>
      <w:bookmarkStart w:id="10" w:name="OLE_LINK152"/>
      <w:bookmarkStart w:id="11" w:name="OLE_LINK159"/>
    </w:p>
    <w:p w14:paraId="5736CADE" w14:textId="77777777" w:rsidR="00055F25" w:rsidRPr="00A13C71" w:rsidRDefault="00055F25" w:rsidP="0033759C">
      <w:pPr>
        <w:jc w:val="both"/>
        <w:rPr>
          <w:rFonts w:ascii="Cambria" w:hAnsi="Cambria"/>
          <w:b/>
          <w:bCs/>
          <w:i/>
          <w:iCs/>
          <w:noProof/>
          <w:sz w:val="22"/>
          <w:szCs w:val="22"/>
          <w:lang w:val="sr-Latn-BA"/>
        </w:rPr>
      </w:pPr>
    </w:p>
    <w:p w14:paraId="341EE24C" w14:textId="4D099A30" w:rsidR="0033759C" w:rsidRPr="00A13C71" w:rsidRDefault="0033759C" w:rsidP="0033759C">
      <w:pPr>
        <w:jc w:val="both"/>
        <w:rPr>
          <w:rFonts w:ascii="Cambria" w:hAnsi="Cambria"/>
          <w:b/>
          <w:bCs/>
          <w:i/>
          <w:iCs/>
          <w:noProof/>
          <w:sz w:val="22"/>
          <w:szCs w:val="22"/>
          <w:lang w:val="sr-Latn-BA"/>
        </w:rPr>
      </w:pPr>
      <w:r w:rsidRPr="00A13C71">
        <w:rPr>
          <w:rFonts w:ascii="Cambria" w:hAnsi="Cambria"/>
          <w:b/>
          <w:bCs/>
          <w:i/>
          <w:iCs/>
          <w:noProof/>
          <w:sz w:val="22"/>
          <w:szCs w:val="22"/>
          <w:lang w:val="sr-Latn-BA"/>
        </w:rPr>
        <w:t>Bilans stanja</w:t>
      </w:r>
    </w:p>
    <w:p w14:paraId="1FDC495D" w14:textId="70DCD120" w:rsidR="0033759C" w:rsidRPr="002F2FD3" w:rsidRDefault="002F2FD3" w:rsidP="0033759C">
      <w:pPr>
        <w:jc w:val="both"/>
        <w:rPr>
          <w:rFonts w:ascii="Cambria" w:hAnsi="Cambria"/>
          <w:b/>
          <w:bCs/>
          <w:noProof/>
          <w:sz w:val="22"/>
          <w:szCs w:val="22"/>
          <w:lang w:val="sr-Latn-BA"/>
        </w:rPr>
      </w:pPr>
      <w:r w:rsidRPr="002F2FD3">
        <w:rPr>
          <w:rFonts w:ascii="Cambria" w:hAnsi="Cambria"/>
          <w:b/>
          <w:bCs/>
          <w:noProof/>
          <w:sz w:val="22"/>
          <w:szCs w:val="22"/>
          <w:lang w:val="sr-Latn-BA"/>
        </w:rPr>
        <w:t>Ulaganja fonda – Napomena 1BS</w:t>
      </w:r>
    </w:p>
    <w:p w14:paraId="784A2F67" w14:textId="54644033" w:rsidR="00DE1086" w:rsidRPr="00A13C71" w:rsidRDefault="006129CF" w:rsidP="00BB0293">
      <w:pPr>
        <w:ind w:firstLine="720"/>
        <w:jc w:val="both"/>
        <w:rPr>
          <w:rFonts w:ascii="Cambria" w:hAnsi="Cambria"/>
          <w:noProof/>
          <w:sz w:val="22"/>
          <w:szCs w:val="22"/>
          <w:lang w:val="sr-Latn-BA"/>
        </w:rPr>
      </w:pPr>
      <w:bookmarkStart w:id="12" w:name="OLE_LINK14"/>
      <w:bookmarkStart w:id="13" w:name="OLE_LINK25"/>
      <w:bookmarkStart w:id="14" w:name="OLE_LINK41"/>
      <w:bookmarkStart w:id="15" w:name="OLE_LINK33"/>
      <w:bookmarkStart w:id="16" w:name="OLE_LINK18"/>
      <w:r w:rsidRPr="00A13C71">
        <w:rPr>
          <w:rFonts w:ascii="Cambria" w:hAnsi="Cambria"/>
          <w:noProof/>
          <w:sz w:val="22"/>
          <w:szCs w:val="22"/>
          <w:lang w:val="sr-Latn-BA"/>
        </w:rPr>
        <w:t>Ulaganja fonda u finansijska sredstva po fer vrijednosti kroz ostali ukupni rezultat koji uključuje vlasničke instrumente domaćih i stranih emitenata n</w:t>
      </w:r>
      <w:r w:rsidR="00DE1086" w:rsidRPr="00A13C71">
        <w:rPr>
          <w:rFonts w:ascii="Cambria" w:hAnsi="Cambria"/>
          <w:noProof/>
          <w:sz w:val="22"/>
          <w:szCs w:val="22"/>
          <w:lang w:val="sr-Latn-BA"/>
        </w:rPr>
        <w:t xml:space="preserve">a dan </w:t>
      </w:r>
      <w:r w:rsidR="00BF6E12" w:rsidRPr="00A13C71">
        <w:rPr>
          <w:rFonts w:ascii="Cambria" w:hAnsi="Cambria"/>
          <w:noProof/>
          <w:sz w:val="22"/>
          <w:szCs w:val="22"/>
          <w:lang w:val="sr-Latn-BA"/>
        </w:rPr>
        <w:t>3</w:t>
      </w:r>
      <w:r w:rsidR="00345B0D">
        <w:rPr>
          <w:rFonts w:ascii="Cambria" w:hAnsi="Cambria"/>
          <w:noProof/>
          <w:sz w:val="22"/>
          <w:szCs w:val="22"/>
          <w:lang w:val="sr-Latn-BA"/>
        </w:rPr>
        <w:t>1</w:t>
      </w:r>
      <w:r w:rsidR="00C30A32" w:rsidRPr="00A13C71">
        <w:rPr>
          <w:rFonts w:ascii="Cambria" w:hAnsi="Cambria"/>
          <w:noProof/>
          <w:sz w:val="22"/>
          <w:szCs w:val="22"/>
          <w:lang w:val="sr-Latn-BA"/>
        </w:rPr>
        <w:t>.</w:t>
      </w:r>
      <w:r w:rsidR="00345B0D">
        <w:rPr>
          <w:rFonts w:ascii="Cambria" w:hAnsi="Cambria"/>
          <w:noProof/>
          <w:sz w:val="22"/>
          <w:szCs w:val="22"/>
          <w:lang w:val="sr-Latn-BA"/>
        </w:rPr>
        <w:t>12</w:t>
      </w:r>
      <w:r w:rsidR="00DE1086" w:rsidRPr="00A13C71">
        <w:rPr>
          <w:rFonts w:ascii="Cambria" w:hAnsi="Cambria"/>
          <w:noProof/>
          <w:sz w:val="22"/>
          <w:szCs w:val="22"/>
          <w:lang w:val="sr-Latn-BA"/>
        </w:rPr>
        <w:t>.202</w:t>
      </w:r>
      <w:r w:rsidR="00F043D9">
        <w:rPr>
          <w:rFonts w:ascii="Cambria" w:hAnsi="Cambria"/>
          <w:noProof/>
          <w:sz w:val="22"/>
          <w:szCs w:val="22"/>
          <w:lang w:val="sr-Latn-BA"/>
        </w:rPr>
        <w:t>3</w:t>
      </w:r>
      <w:r w:rsidR="00DE1086" w:rsidRPr="00A13C71">
        <w:rPr>
          <w:rFonts w:ascii="Cambria" w:hAnsi="Cambria"/>
          <w:noProof/>
          <w:sz w:val="22"/>
          <w:szCs w:val="22"/>
          <w:lang w:val="sr-Latn-BA"/>
        </w:rPr>
        <w:t xml:space="preserve">. godine </w:t>
      </w:r>
      <w:r w:rsidR="00DE1086" w:rsidRPr="00A13C71">
        <w:rPr>
          <w:rFonts w:ascii="Cambria" w:hAnsi="Cambria"/>
          <w:noProof/>
          <w:sz w:val="22"/>
          <w:szCs w:val="22"/>
          <w:shd w:val="clear" w:color="auto" w:fill="FFFFFF" w:themeFill="background1"/>
          <w:lang w:val="sr-Latn-BA"/>
        </w:rPr>
        <w:t xml:space="preserve">iznose </w:t>
      </w:r>
      <w:r w:rsidR="00C80B3C">
        <w:rPr>
          <w:rFonts w:ascii="Cambria" w:hAnsi="Cambria"/>
          <w:noProof/>
          <w:sz w:val="22"/>
          <w:szCs w:val="22"/>
          <w:shd w:val="clear" w:color="auto" w:fill="FFFFFF" w:themeFill="background1"/>
          <w:lang w:val="sr-Latn-BA"/>
        </w:rPr>
        <w:t>6</w:t>
      </w:r>
      <w:r w:rsidR="00251D0D" w:rsidRPr="00A13C71">
        <w:rPr>
          <w:rFonts w:ascii="Cambria" w:hAnsi="Cambria" w:cs="Arial"/>
          <w:noProof/>
          <w:sz w:val="22"/>
          <w:szCs w:val="22"/>
          <w:shd w:val="clear" w:color="auto" w:fill="FFFFFF" w:themeFill="background1"/>
          <w:lang w:val="sr-Latn-BA"/>
        </w:rPr>
        <w:t>.</w:t>
      </w:r>
      <w:r w:rsidR="00C80B3C">
        <w:rPr>
          <w:rFonts w:ascii="Cambria" w:hAnsi="Cambria" w:cs="Arial"/>
          <w:noProof/>
          <w:sz w:val="22"/>
          <w:szCs w:val="22"/>
          <w:shd w:val="clear" w:color="auto" w:fill="FFFFFF" w:themeFill="background1"/>
          <w:lang w:val="sr-Latn-BA"/>
        </w:rPr>
        <w:t>076</w:t>
      </w:r>
      <w:r w:rsidR="00CD6ECC" w:rsidRPr="00A13C71">
        <w:rPr>
          <w:rFonts w:ascii="Cambria" w:hAnsi="Cambria" w:cs="Arial"/>
          <w:noProof/>
          <w:sz w:val="22"/>
          <w:szCs w:val="22"/>
          <w:shd w:val="clear" w:color="auto" w:fill="FFFFFF" w:themeFill="background1"/>
          <w:lang w:val="sr-Latn-BA"/>
        </w:rPr>
        <w:t>.</w:t>
      </w:r>
      <w:r w:rsidR="00C80B3C">
        <w:rPr>
          <w:rFonts w:ascii="Cambria" w:hAnsi="Cambria" w:cs="Arial"/>
          <w:noProof/>
          <w:sz w:val="22"/>
          <w:szCs w:val="22"/>
          <w:shd w:val="clear" w:color="auto" w:fill="FFFFFF" w:themeFill="background1"/>
          <w:lang w:val="sr-Latn-BA"/>
        </w:rPr>
        <w:t>099</w:t>
      </w:r>
      <w:r w:rsidR="00587B6C" w:rsidRPr="00A13C71">
        <w:rPr>
          <w:rFonts w:ascii="Cambria" w:hAnsi="Cambria" w:cs="Arial"/>
          <w:noProof/>
          <w:sz w:val="22"/>
          <w:szCs w:val="22"/>
          <w:shd w:val="clear" w:color="auto" w:fill="FFFFFF" w:themeFill="background1"/>
          <w:lang w:val="sr-Latn-BA"/>
        </w:rPr>
        <w:t>,</w:t>
      </w:r>
      <w:r w:rsidR="00C80B3C">
        <w:rPr>
          <w:rFonts w:ascii="Cambria" w:hAnsi="Cambria" w:cs="Arial"/>
          <w:noProof/>
          <w:sz w:val="22"/>
          <w:szCs w:val="22"/>
          <w:shd w:val="clear" w:color="auto" w:fill="FFFFFF" w:themeFill="background1"/>
          <w:lang w:val="sr-Latn-BA"/>
        </w:rPr>
        <w:t>86</w:t>
      </w:r>
      <w:r w:rsidR="00A742BC" w:rsidRPr="00A13C71">
        <w:rPr>
          <w:rFonts w:ascii="Cambria" w:hAnsi="Cambria" w:cs="Arial"/>
          <w:noProof/>
          <w:sz w:val="22"/>
          <w:szCs w:val="22"/>
          <w:shd w:val="clear" w:color="auto" w:fill="FFFFFF" w:themeFill="background1"/>
          <w:lang w:val="sr-Latn-BA"/>
        </w:rPr>
        <w:t xml:space="preserve"> </w:t>
      </w:r>
      <w:r w:rsidR="00DE1086" w:rsidRPr="00A13C71">
        <w:rPr>
          <w:rFonts w:ascii="Cambria" w:hAnsi="Cambria"/>
          <w:iCs/>
          <w:noProof/>
          <w:sz w:val="22"/>
          <w:szCs w:val="22"/>
          <w:shd w:val="clear" w:color="auto" w:fill="FFFFFF" w:themeFill="background1"/>
          <w:lang w:val="sr-Latn-BA"/>
        </w:rPr>
        <w:t>KM</w:t>
      </w:r>
      <w:r w:rsidR="00DE1086" w:rsidRPr="00A13C71">
        <w:rPr>
          <w:rFonts w:ascii="Cambria" w:hAnsi="Cambria"/>
          <w:i/>
          <w:noProof/>
          <w:sz w:val="22"/>
          <w:szCs w:val="22"/>
          <w:shd w:val="clear" w:color="auto" w:fill="FFFFFF" w:themeFill="background1"/>
          <w:lang w:val="sr-Latn-BA"/>
        </w:rPr>
        <w:t>.</w:t>
      </w:r>
      <w:r w:rsidR="00DE1086" w:rsidRPr="00A13C71">
        <w:rPr>
          <w:rFonts w:ascii="Cambria" w:hAnsi="Cambria"/>
          <w:i/>
          <w:noProof/>
          <w:sz w:val="22"/>
          <w:szCs w:val="22"/>
          <w:lang w:val="sr-Latn-BA"/>
        </w:rPr>
        <w:t xml:space="preserve"> </w:t>
      </w:r>
      <w:r w:rsidR="00DE1086" w:rsidRPr="00A13C71">
        <w:rPr>
          <w:rFonts w:ascii="Cambria" w:hAnsi="Cambria"/>
          <w:noProof/>
          <w:sz w:val="22"/>
          <w:szCs w:val="22"/>
          <w:lang w:val="sr-Latn-BA"/>
        </w:rPr>
        <w:t xml:space="preserve">Ukupan iznos ulaganja u hov je isključivo uložen u </w:t>
      </w:r>
      <w:r w:rsidR="00C769A7">
        <w:rPr>
          <w:rFonts w:ascii="Cambria" w:hAnsi="Cambria"/>
          <w:noProof/>
          <w:sz w:val="22"/>
          <w:szCs w:val="22"/>
          <w:lang w:val="sr-Latn-BA"/>
        </w:rPr>
        <w:t xml:space="preserve">29 </w:t>
      </w:r>
      <w:r w:rsidR="00A742BC" w:rsidRPr="00A13C71">
        <w:rPr>
          <w:rFonts w:ascii="Cambria" w:hAnsi="Cambria"/>
          <w:noProof/>
          <w:sz w:val="22"/>
          <w:szCs w:val="22"/>
          <w:lang w:val="sr-Latn-BA"/>
        </w:rPr>
        <w:t>hartija od čega 2</w:t>
      </w:r>
      <w:r w:rsidR="00C769A7">
        <w:rPr>
          <w:rFonts w:ascii="Cambria" w:hAnsi="Cambria"/>
          <w:noProof/>
          <w:sz w:val="22"/>
          <w:szCs w:val="22"/>
          <w:lang w:val="sr-Latn-BA"/>
        </w:rPr>
        <w:t>7</w:t>
      </w:r>
      <w:r w:rsidR="00DE1086" w:rsidRPr="00A13C71">
        <w:rPr>
          <w:rFonts w:ascii="Cambria" w:hAnsi="Cambria"/>
          <w:noProof/>
          <w:sz w:val="22"/>
          <w:szCs w:val="22"/>
          <w:lang w:val="sr-Latn-BA"/>
        </w:rPr>
        <w:t xml:space="preserve"> redovne akcije</w:t>
      </w:r>
      <w:r w:rsidR="005D31E1" w:rsidRPr="00A13C71">
        <w:rPr>
          <w:rFonts w:ascii="Cambria" w:hAnsi="Cambria"/>
          <w:noProof/>
          <w:sz w:val="22"/>
          <w:szCs w:val="22"/>
          <w:lang w:val="sr-Latn-BA"/>
        </w:rPr>
        <w:t xml:space="preserve">, </w:t>
      </w:r>
      <w:r w:rsidR="00FF4543" w:rsidRPr="00A13C71">
        <w:rPr>
          <w:rFonts w:ascii="Cambria" w:hAnsi="Cambria"/>
          <w:noProof/>
          <w:sz w:val="22"/>
          <w:szCs w:val="22"/>
          <w:lang w:val="sr-Latn-BA"/>
        </w:rPr>
        <w:t>jedna</w:t>
      </w:r>
      <w:r w:rsidR="005D31E1" w:rsidRPr="00A13C71">
        <w:rPr>
          <w:rFonts w:ascii="Cambria" w:hAnsi="Cambria"/>
          <w:noProof/>
          <w:sz w:val="22"/>
          <w:szCs w:val="22"/>
          <w:lang w:val="sr-Latn-BA"/>
        </w:rPr>
        <w:t xml:space="preserve"> akcij</w:t>
      </w:r>
      <w:r w:rsidR="00FF4543" w:rsidRPr="00A13C71">
        <w:rPr>
          <w:rFonts w:ascii="Cambria" w:hAnsi="Cambria"/>
          <w:noProof/>
          <w:sz w:val="22"/>
          <w:szCs w:val="22"/>
          <w:lang w:val="sr-Latn-BA"/>
        </w:rPr>
        <w:t>a</w:t>
      </w:r>
      <w:r w:rsidR="005D31E1" w:rsidRPr="00A13C71">
        <w:rPr>
          <w:rFonts w:ascii="Cambria" w:hAnsi="Cambria"/>
          <w:noProof/>
          <w:sz w:val="22"/>
          <w:szCs w:val="22"/>
          <w:lang w:val="sr-Latn-BA"/>
        </w:rPr>
        <w:t xml:space="preserve"> zatvorenih investicionih fondova i jedna prioritetna akcija.</w:t>
      </w:r>
    </w:p>
    <w:p w14:paraId="6BA95E4C" w14:textId="77777777" w:rsidR="00BB0293" w:rsidRPr="00A13C71" w:rsidRDefault="00BB0293" w:rsidP="00DE1086">
      <w:pPr>
        <w:jc w:val="both"/>
        <w:rPr>
          <w:rFonts w:ascii="Cambria" w:hAnsi="Cambria"/>
          <w:noProof/>
          <w:sz w:val="22"/>
          <w:szCs w:val="22"/>
          <w:u w:val="single"/>
          <w:lang w:val="sr-Latn-BA"/>
        </w:rPr>
      </w:pPr>
    </w:p>
    <w:p w14:paraId="598B66AF" w14:textId="4237A45D" w:rsidR="00DE1086" w:rsidRPr="00A13C71" w:rsidRDefault="00DE1086" w:rsidP="00DE1086">
      <w:pPr>
        <w:jc w:val="both"/>
        <w:rPr>
          <w:rFonts w:ascii="Cambria" w:hAnsi="Cambria"/>
          <w:noProof/>
          <w:sz w:val="22"/>
          <w:szCs w:val="22"/>
          <w:u w:val="single"/>
          <w:lang w:val="sr-Latn-BA"/>
        </w:rPr>
      </w:pPr>
      <w:r w:rsidRPr="00A13C71">
        <w:rPr>
          <w:rFonts w:ascii="Cambria" w:hAnsi="Cambria"/>
          <w:noProof/>
          <w:sz w:val="22"/>
          <w:szCs w:val="22"/>
          <w:u w:val="single"/>
          <w:lang w:val="sr-Latn-BA"/>
        </w:rPr>
        <w:t xml:space="preserve">Akcije </w:t>
      </w:r>
    </w:p>
    <w:p w14:paraId="53EF3186" w14:textId="4C78B777" w:rsidR="00DE1086" w:rsidRPr="00EF3032" w:rsidRDefault="00DE1086" w:rsidP="00BB0293">
      <w:pPr>
        <w:ind w:firstLine="720"/>
        <w:jc w:val="both"/>
        <w:rPr>
          <w:rFonts w:ascii="Cambria" w:hAnsi="Cambria"/>
          <w:noProof/>
          <w:sz w:val="22"/>
          <w:szCs w:val="22"/>
          <w:lang w:val="sr-Latn-BA"/>
        </w:rPr>
      </w:pPr>
      <w:bookmarkStart w:id="17" w:name="_Hlk46490232"/>
      <w:r w:rsidRPr="00EF3032">
        <w:rPr>
          <w:rFonts w:ascii="Cambria" w:hAnsi="Cambria"/>
          <w:noProof/>
          <w:sz w:val="22"/>
          <w:szCs w:val="22"/>
          <w:lang w:val="sr-Latn-BA"/>
        </w:rPr>
        <w:t xml:space="preserve">Za vlasničke hartije od vrijednosti kojima se trguje na tržištu Republike Srpske i Federacije Bosne i Hercegovine, fer vrijednost na dan utvrđivanja vrijednosti imovine se računa primjenom prosječne ponderisane cijene za ostvarene transakcije na berzi u poslednjih 10 dana  kad je bilo trgovanja određenom vlasničkom hartijom u posljednjoj godini. </w:t>
      </w:r>
    </w:p>
    <w:p w14:paraId="1A4BB561" w14:textId="7109B8BE" w:rsidR="00DE1086" w:rsidRPr="00795711" w:rsidRDefault="003D1B81" w:rsidP="00BB0293">
      <w:pPr>
        <w:ind w:firstLine="720"/>
        <w:jc w:val="both"/>
        <w:rPr>
          <w:rFonts w:ascii="Cambria" w:hAnsi="Cambria"/>
          <w:noProof/>
          <w:sz w:val="22"/>
          <w:szCs w:val="22"/>
          <w:lang w:val="sr-Latn-BA"/>
        </w:rPr>
      </w:pPr>
      <w:r w:rsidRPr="00795711">
        <w:rPr>
          <w:rFonts w:ascii="Cambria" w:hAnsi="Cambria"/>
          <w:noProof/>
          <w:sz w:val="22"/>
          <w:szCs w:val="22"/>
          <w:lang w:val="sr-Latn-BA"/>
        </w:rPr>
        <w:t>Na dan 3</w:t>
      </w:r>
      <w:r w:rsidR="00C80B3C" w:rsidRPr="00795711">
        <w:rPr>
          <w:rFonts w:ascii="Cambria" w:hAnsi="Cambria"/>
          <w:noProof/>
          <w:sz w:val="22"/>
          <w:szCs w:val="22"/>
          <w:lang w:val="sr-Latn-BA"/>
        </w:rPr>
        <w:t>1</w:t>
      </w:r>
      <w:r w:rsidR="00E33580" w:rsidRPr="00795711">
        <w:rPr>
          <w:rFonts w:ascii="Cambria" w:hAnsi="Cambria"/>
          <w:noProof/>
          <w:sz w:val="22"/>
          <w:szCs w:val="22"/>
          <w:lang w:val="sr-Latn-BA"/>
        </w:rPr>
        <w:t>.</w:t>
      </w:r>
      <w:r w:rsidR="00C80B3C" w:rsidRPr="00795711">
        <w:rPr>
          <w:rFonts w:ascii="Cambria" w:hAnsi="Cambria"/>
          <w:noProof/>
          <w:sz w:val="22"/>
          <w:szCs w:val="22"/>
          <w:lang w:val="sr-Latn-BA"/>
        </w:rPr>
        <w:t>12</w:t>
      </w:r>
      <w:r w:rsidR="00DE1086" w:rsidRPr="00795711">
        <w:rPr>
          <w:rFonts w:ascii="Cambria" w:hAnsi="Cambria"/>
          <w:noProof/>
          <w:sz w:val="22"/>
          <w:szCs w:val="22"/>
          <w:lang w:val="sr-Latn-BA"/>
        </w:rPr>
        <w:t>.202</w:t>
      </w:r>
      <w:r w:rsidR="00F043D9" w:rsidRPr="00795711">
        <w:rPr>
          <w:rFonts w:ascii="Cambria" w:hAnsi="Cambria"/>
          <w:noProof/>
          <w:sz w:val="22"/>
          <w:szCs w:val="22"/>
          <w:lang w:val="sr-Latn-BA"/>
        </w:rPr>
        <w:t>3</w:t>
      </w:r>
      <w:r w:rsidR="00DE1086" w:rsidRPr="00795711">
        <w:rPr>
          <w:rFonts w:ascii="Cambria" w:hAnsi="Cambria"/>
          <w:noProof/>
          <w:sz w:val="22"/>
          <w:szCs w:val="22"/>
          <w:lang w:val="sr-Latn-BA"/>
        </w:rPr>
        <w:t xml:space="preserve">.godine u portfelju Fonda bilo je </w:t>
      </w:r>
      <w:r w:rsidR="005634EC" w:rsidRPr="00795711">
        <w:rPr>
          <w:rFonts w:ascii="Cambria" w:hAnsi="Cambria"/>
          <w:noProof/>
          <w:sz w:val="22"/>
          <w:szCs w:val="22"/>
          <w:lang w:val="sr-Latn-BA"/>
        </w:rPr>
        <w:t>9</w:t>
      </w:r>
      <w:r w:rsidR="00DE1086" w:rsidRPr="00795711">
        <w:rPr>
          <w:rFonts w:ascii="Cambria" w:hAnsi="Cambria"/>
          <w:noProof/>
          <w:sz w:val="22"/>
          <w:szCs w:val="22"/>
          <w:lang w:val="sr-Latn-BA"/>
        </w:rPr>
        <w:t xml:space="preserve"> hov koje su se vrednovale na ovaj način i njihova vrijednost ulaganja iznosi </w:t>
      </w:r>
      <w:r w:rsidR="00795711" w:rsidRPr="00795711">
        <w:rPr>
          <w:rFonts w:ascii="Cambria" w:hAnsi="Cambria"/>
          <w:noProof/>
          <w:sz w:val="22"/>
          <w:szCs w:val="22"/>
          <w:lang w:val="sr-Latn-BA"/>
        </w:rPr>
        <w:t>5.861.510,</w:t>
      </w:r>
      <w:r w:rsidR="00C17AE6" w:rsidRPr="00795711">
        <w:rPr>
          <w:rFonts w:ascii="Cambria" w:hAnsi="Cambria"/>
          <w:noProof/>
          <w:sz w:val="22"/>
          <w:szCs w:val="22"/>
          <w:lang w:val="sr-Latn-BA"/>
        </w:rPr>
        <w:t xml:space="preserve"> </w:t>
      </w:r>
      <w:r w:rsidR="00DE1086" w:rsidRPr="00795711">
        <w:rPr>
          <w:rFonts w:ascii="Cambria" w:hAnsi="Cambria"/>
          <w:noProof/>
          <w:sz w:val="22"/>
          <w:szCs w:val="22"/>
          <w:lang w:val="sr-Latn-BA"/>
        </w:rPr>
        <w:t>KM.</w:t>
      </w:r>
    </w:p>
    <w:p w14:paraId="13690E45" w14:textId="628B8D1C" w:rsidR="00DE1086" w:rsidRPr="00795711" w:rsidRDefault="00DE1086" w:rsidP="00BB0293">
      <w:pPr>
        <w:ind w:firstLine="720"/>
        <w:jc w:val="both"/>
        <w:rPr>
          <w:rFonts w:ascii="Cambria" w:hAnsi="Cambria"/>
          <w:noProof/>
          <w:sz w:val="22"/>
          <w:szCs w:val="22"/>
          <w:lang w:val="sr-Latn-BA"/>
        </w:rPr>
      </w:pPr>
      <w:r w:rsidRPr="00795711">
        <w:rPr>
          <w:rFonts w:ascii="Cambria" w:hAnsi="Cambria"/>
          <w:noProof/>
          <w:sz w:val="22"/>
          <w:szCs w:val="22"/>
          <w:lang w:val="sr-Latn-BA"/>
        </w:rPr>
        <w:t>U slučaju da nije bilo najmanje 10 dana trgovanja u godini fer vrijednost se utvrđuje u iznosu koji je manji od procjenjene vrijednosti ili posljednje ponderisane tržišne cijene kada je bilo trgovanje.</w:t>
      </w:r>
      <w:r w:rsidR="00BB0293" w:rsidRPr="00795711">
        <w:rPr>
          <w:rFonts w:ascii="Cambria" w:hAnsi="Cambria"/>
          <w:noProof/>
          <w:sz w:val="22"/>
          <w:szCs w:val="22"/>
          <w:lang w:val="sr-Latn-BA"/>
        </w:rPr>
        <w:t xml:space="preserve"> </w:t>
      </w:r>
      <w:r w:rsidR="00F06169" w:rsidRPr="00795711">
        <w:rPr>
          <w:rFonts w:ascii="Cambria" w:hAnsi="Cambria"/>
          <w:noProof/>
          <w:sz w:val="22"/>
          <w:szCs w:val="22"/>
          <w:lang w:val="sr-Latn-BA"/>
        </w:rPr>
        <w:t xml:space="preserve">U ovom slučaju imamo </w:t>
      </w:r>
      <w:r w:rsidR="00795711" w:rsidRPr="00795711">
        <w:rPr>
          <w:rFonts w:ascii="Cambria" w:hAnsi="Cambria"/>
          <w:noProof/>
          <w:sz w:val="22"/>
          <w:szCs w:val="22"/>
          <w:lang w:val="sr-Latn-BA"/>
        </w:rPr>
        <w:t>5</w:t>
      </w:r>
      <w:r w:rsidRPr="00795711">
        <w:rPr>
          <w:rFonts w:ascii="Cambria" w:hAnsi="Cambria"/>
          <w:noProof/>
          <w:sz w:val="22"/>
          <w:szCs w:val="22"/>
          <w:lang w:val="sr-Latn-BA"/>
        </w:rPr>
        <w:t xml:space="preserve"> hov koje su se vrednovale po tržišnoj cijeni</w:t>
      </w:r>
      <w:r w:rsidR="00BE1D3C" w:rsidRPr="00795711">
        <w:rPr>
          <w:rFonts w:ascii="Cambria" w:hAnsi="Cambria"/>
          <w:noProof/>
          <w:sz w:val="22"/>
          <w:szCs w:val="22"/>
          <w:lang w:val="sr-Latn-BA"/>
        </w:rPr>
        <w:t xml:space="preserve"> i </w:t>
      </w:r>
      <w:r w:rsidR="00BA7FDC" w:rsidRPr="00795711">
        <w:rPr>
          <w:rFonts w:ascii="Cambria" w:hAnsi="Cambria"/>
          <w:noProof/>
          <w:sz w:val="22"/>
          <w:szCs w:val="22"/>
          <w:lang w:val="sr-Latn-BA"/>
        </w:rPr>
        <w:t>2</w:t>
      </w:r>
      <w:r w:rsidRPr="00795711">
        <w:rPr>
          <w:rFonts w:ascii="Cambria" w:hAnsi="Cambria"/>
          <w:noProof/>
          <w:sz w:val="22"/>
          <w:szCs w:val="22"/>
          <w:lang w:val="sr-Latn-BA"/>
        </w:rPr>
        <w:t xml:space="preserve"> hov po procijenjenoj. Vrijednost ulaganja tih hov iznosi </w:t>
      </w:r>
      <w:r w:rsidR="00EF3032" w:rsidRPr="00795711">
        <w:rPr>
          <w:rFonts w:ascii="Cambria" w:hAnsi="Cambria"/>
          <w:noProof/>
          <w:sz w:val="22"/>
          <w:szCs w:val="22"/>
          <w:lang w:val="sr-Latn-BA"/>
        </w:rPr>
        <w:t>2</w:t>
      </w:r>
      <w:r w:rsidR="00795711" w:rsidRPr="00795711">
        <w:rPr>
          <w:rFonts w:ascii="Cambria" w:hAnsi="Cambria"/>
          <w:noProof/>
          <w:sz w:val="22"/>
          <w:szCs w:val="22"/>
          <w:lang w:val="sr-Latn-BA"/>
        </w:rPr>
        <w:t>14</w:t>
      </w:r>
      <w:r w:rsidR="00EF3032" w:rsidRPr="00795711">
        <w:rPr>
          <w:rFonts w:ascii="Cambria" w:hAnsi="Cambria"/>
          <w:noProof/>
          <w:sz w:val="22"/>
          <w:szCs w:val="22"/>
          <w:lang w:val="sr-Latn-BA"/>
        </w:rPr>
        <w:t>.</w:t>
      </w:r>
      <w:r w:rsidR="00795711" w:rsidRPr="00795711">
        <w:rPr>
          <w:rFonts w:ascii="Cambria" w:hAnsi="Cambria"/>
          <w:noProof/>
          <w:sz w:val="22"/>
          <w:szCs w:val="22"/>
          <w:lang w:val="sr-Latn-BA"/>
        </w:rPr>
        <w:t>589</w:t>
      </w:r>
      <w:r w:rsidR="00EF3032" w:rsidRPr="00795711">
        <w:rPr>
          <w:rFonts w:ascii="Cambria" w:hAnsi="Cambria"/>
          <w:noProof/>
          <w:sz w:val="22"/>
          <w:szCs w:val="22"/>
          <w:lang w:val="sr-Latn-BA"/>
        </w:rPr>
        <w:t>,</w:t>
      </w:r>
      <w:r w:rsidR="00795711" w:rsidRPr="00795711">
        <w:rPr>
          <w:rFonts w:ascii="Cambria" w:hAnsi="Cambria"/>
          <w:noProof/>
          <w:sz w:val="22"/>
          <w:szCs w:val="22"/>
          <w:lang w:val="sr-Latn-BA"/>
        </w:rPr>
        <w:t>69</w:t>
      </w:r>
      <w:r w:rsidR="005634EC" w:rsidRPr="00795711">
        <w:rPr>
          <w:rFonts w:ascii="Cambria" w:hAnsi="Cambria"/>
          <w:noProof/>
          <w:sz w:val="22"/>
          <w:szCs w:val="22"/>
          <w:lang w:val="sr-Latn-BA"/>
        </w:rPr>
        <w:t xml:space="preserve"> </w:t>
      </w:r>
      <w:r w:rsidRPr="00795711">
        <w:rPr>
          <w:rFonts w:ascii="Cambria" w:hAnsi="Cambria"/>
          <w:noProof/>
          <w:sz w:val="22"/>
          <w:szCs w:val="22"/>
          <w:lang w:val="sr-Latn-BA"/>
        </w:rPr>
        <w:t>KM.</w:t>
      </w:r>
    </w:p>
    <w:p w14:paraId="40551C92" w14:textId="38695CB4" w:rsidR="00DE1086" w:rsidRPr="00795711" w:rsidRDefault="00C67834" w:rsidP="00C67834">
      <w:pPr>
        <w:jc w:val="both"/>
        <w:rPr>
          <w:rFonts w:ascii="Cambria" w:hAnsi="Cambria"/>
          <w:noProof/>
          <w:sz w:val="22"/>
          <w:szCs w:val="22"/>
          <w:lang w:val="sr-Latn-BA"/>
        </w:rPr>
      </w:pPr>
      <w:r>
        <w:rPr>
          <w:rFonts w:ascii="Cambria" w:hAnsi="Cambria"/>
          <w:noProof/>
          <w:sz w:val="22"/>
          <w:szCs w:val="22"/>
          <w:lang w:val="sr-Latn-BA"/>
        </w:rPr>
        <w:t xml:space="preserve">            </w:t>
      </w:r>
      <w:r w:rsidR="00F06169" w:rsidRPr="00795711">
        <w:rPr>
          <w:rFonts w:ascii="Cambria" w:hAnsi="Cambria"/>
          <w:noProof/>
          <w:sz w:val="22"/>
          <w:szCs w:val="22"/>
          <w:lang w:val="sr-Latn-BA"/>
        </w:rPr>
        <w:t>U portfelju Fonda nalazi se 1</w:t>
      </w:r>
      <w:r w:rsidR="00795711" w:rsidRPr="00795711">
        <w:rPr>
          <w:rFonts w:ascii="Cambria" w:hAnsi="Cambria"/>
          <w:noProof/>
          <w:sz w:val="22"/>
          <w:szCs w:val="22"/>
          <w:lang w:val="sr-Latn-BA"/>
        </w:rPr>
        <w:t>0</w:t>
      </w:r>
      <w:r w:rsidR="00DE1086" w:rsidRPr="00795711">
        <w:rPr>
          <w:rFonts w:ascii="Cambria" w:hAnsi="Cambria"/>
          <w:noProof/>
          <w:sz w:val="22"/>
          <w:szCs w:val="22"/>
          <w:lang w:val="sr-Latn-BA"/>
        </w:rPr>
        <w:t xml:space="preserve"> hov čija je procjena nula i nemaju vrijednost.</w:t>
      </w:r>
    </w:p>
    <w:p w14:paraId="61A0312D" w14:textId="440B78A3" w:rsidR="00DE1086" w:rsidRPr="00A13C71" w:rsidRDefault="000F4613" w:rsidP="00DE1086">
      <w:pPr>
        <w:jc w:val="both"/>
        <w:rPr>
          <w:rFonts w:ascii="Cambria" w:hAnsi="Cambria"/>
          <w:noProof/>
          <w:sz w:val="22"/>
          <w:szCs w:val="22"/>
          <w:lang w:val="sr-Latn-BA"/>
        </w:rPr>
      </w:pPr>
      <w:bookmarkStart w:id="18" w:name="_Hlk108087386"/>
      <w:bookmarkStart w:id="19" w:name="_Hlk108099464"/>
      <w:r w:rsidRPr="00795711">
        <w:rPr>
          <w:rFonts w:ascii="Cambria" w:hAnsi="Cambria"/>
          <w:noProof/>
          <w:sz w:val="22"/>
          <w:szCs w:val="22"/>
          <w:lang w:val="sr-Latn-BA"/>
        </w:rPr>
        <w:t xml:space="preserve">            Na dan bilansiranja akcije su vrednovan</w:t>
      </w:r>
      <w:r w:rsidR="00A13C71" w:rsidRPr="00795711">
        <w:rPr>
          <w:rFonts w:ascii="Cambria" w:hAnsi="Cambria"/>
          <w:noProof/>
          <w:sz w:val="22"/>
          <w:szCs w:val="22"/>
          <w:lang w:val="sr-Latn-BA"/>
        </w:rPr>
        <w:t>e</w:t>
      </w:r>
      <w:r w:rsidRPr="00795711">
        <w:rPr>
          <w:rFonts w:ascii="Cambria" w:hAnsi="Cambria"/>
          <w:noProof/>
          <w:sz w:val="22"/>
          <w:szCs w:val="22"/>
          <w:lang w:val="sr-Latn-BA"/>
        </w:rPr>
        <w:t xml:space="preserve"> po fer vrijednosti ostvarenoj na berzi ili procjenjenoj vrijednosti u skladu sa važećim Pravilnikom o utvrđivanju vrijednosti imovine investicionih fondova koji je donesen od strane Komisije za hartije od vrijednosti Republike Srpske</w:t>
      </w:r>
      <w:bookmarkEnd w:id="18"/>
      <w:r w:rsidRPr="00795711">
        <w:rPr>
          <w:rFonts w:ascii="Cambria" w:hAnsi="Cambria"/>
          <w:noProof/>
          <w:sz w:val="22"/>
          <w:szCs w:val="22"/>
          <w:lang w:val="sr-Latn-BA"/>
        </w:rPr>
        <w:t>.</w:t>
      </w:r>
    </w:p>
    <w:bookmarkEnd w:id="17"/>
    <w:bookmarkEnd w:id="19"/>
    <w:p w14:paraId="097AD3AB" w14:textId="77777777" w:rsidR="002376FB" w:rsidRPr="00A13C71" w:rsidRDefault="002376FB" w:rsidP="002376FB">
      <w:pPr>
        <w:jc w:val="both"/>
        <w:rPr>
          <w:rFonts w:ascii="Cambria" w:hAnsi="Cambria"/>
          <w:noProof/>
          <w:sz w:val="22"/>
          <w:szCs w:val="22"/>
          <w:lang w:val="sr-Latn-BA"/>
        </w:rPr>
      </w:pPr>
    </w:p>
    <w:p w14:paraId="7AFCD94B" w14:textId="34667DD6" w:rsidR="0033759C" w:rsidRDefault="002376FB" w:rsidP="002376FB">
      <w:pPr>
        <w:jc w:val="both"/>
        <w:rPr>
          <w:rFonts w:ascii="Cambria" w:hAnsi="Cambria"/>
          <w:noProof/>
          <w:sz w:val="22"/>
          <w:szCs w:val="22"/>
          <w:lang w:val="sr-Latn-BA"/>
        </w:rPr>
      </w:pPr>
      <w:r w:rsidRPr="00A13C71">
        <w:rPr>
          <w:rFonts w:ascii="Cambria" w:hAnsi="Cambria"/>
          <w:noProof/>
          <w:sz w:val="22"/>
          <w:szCs w:val="22"/>
          <w:lang w:val="sr-Latn-BA"/>
        </w:rPr>
        <w:t xml:space="preserve">       </w:t>
      </w:r>
      <w:r w:rsidR="00DE1086" w:rsidRPr="00A13C71">
        <w:rPr>
          <w:rFonts w:ascii="Cambria" w:hAnsi="Cambria"/>
          <w:noProof/>
          <w:sz w:val="22"/>
          <w:szCs w:val="22"/>
          <w:lang w:val="sr-Latn-BA"/>
        </w:rPr>
        <w:t>Gotovina i gotovinski ekvivalenti</w:t>
      </w:r>
      <w:r w:rsidR="004E7A32" w:rsidRPr="00A13C71">
        <w:rPr>
          <w:rFonts w:ascii="Cambria" w:hAnsi="Cambria"/>
          <w:noProof/>
          <w:sz w:val="22"/>
          <w:szCs w:val="22"/>
          <w:lang w:val="sr-Latn-BA"/>
        </w:rPr>
        <w:t xml:space="preserve"> iznose </w:t>
      </w:r>
      <w:r w:rsidR="00C80B3C">
        <w:rPr>
          <w:rFonts w:ascii="Cambria" w:hAnsi="Cambria"/>
          <w:noProof/>
          <w:sz w:val="22"/>
          <w:szCs w:val="22"/>
          <w:lang w:val="sr-Latn-BA"/>
        </w:rPr>
        <w:t>66.366,91</w:t>
      </w:r>
      <w:r w:rsidR="00BF6E12" w:rsidRPr="00A13C71">
        <w:rPr>
          <w:rFonts w:ascii="Cambria" w:hAnsi="Cambria" w:cs="Arial"/>
          <w:noProof/>
          <w:sz w:val="22"/>
          <w:szCs w:val="22"/>
          <w:lang w:val="sr-Latn-BA"/>
        </w:rPr>
        <w:t xml:space="preserve"> </w:t>
      </w:r>
      <w:r w:rsidR="00DE1086" w:rsidRPr="00A13C71">
        <w:rPr>
          <w:rFonts w:ascii="Cambria" w:hAnsi="Cambria"/>
          <w:noProof/>
          <w:sz w:val="22"/>
          <w:szCs w:val="22"/>
          <w:lang w:val="sr-Latn-BA"/>
        </w:rPr>
        <w:t>KM.</w:t>
      </w:r>
    </w:p>
    <w:p w14:paraId="5802C368" w14:textId="77777777" w:rsidR="002F2FD3" w:rsidRPr="00A13C71" w:rsidRDefault="002F2FD3" w:rsidP="002376FB">
      <w:pPr>
        <w:jc w:val="both"/>
        <w:rPr>
          <w:rFonts w:ascii="Cambria" w:hAnsi="Cambria" w:cs="Arial"/>
          <w:noProof/>
          <w:sz w:val="22"/>
          <w:szCs w:val="22"/>
          <w:lang w:val="sr-Latn-BA"/>
        </w:rPr>
      </w:pPr>
    </w:p>
    <w:p w14:paraId="1BEBC56D" w14:textId="0659E412" w:rsidR="002F2FD3" w:rsidRDefault="002F2FD3" w:rsidP="002F2FD3">
      <w:pPr>
        <w:jc w:val="both"/>
        <w:rPr>
          <w:rFonts w:ascii="Cambria" w:hAnsi="Cambria"/>
          <w:b/>
          <w:bCs/>
          <w:noProof/>
          <w:color w:val="000000"/>
          <w:sz w:val="22"/>
          <w:szCs w:val="22"/>
          <w:lang w:val="sr-Latn-BA"/>
        </w:rPr>
      </w:pPr>
      <w:r>
        <w:rPr>
          <w:rFonts w:ascii="Cambria" w:hAnsi="Cambria" w:cs="Arial"/>
          <w:noProof/>
          <w:sz w:val="22"/>
          <w:szCs w:val="22"/>
          <w:lang w:val="sr-Latn-BA"/>
        </w:rPr>
        <w:t xml:space="preserve">       </w:t>
      </w:r>
      <w:r w:rsidRPr="00EB68D9">
        <w:rPr>
          <w:rFonts w:ascii="Cambria" w:hAnsi="Cambria"/>
          <w:b/>
          <w:bCs/>
          <w:noProof/>
          <w:color w:val="000000"/>
          <w:sz w:val="22"/>
          <w:szCs w:val="22"/>
          <w:lang w:val="sr-Latn-BA"/>
        </w:rPr>
        <w:t>Potraživanja – Napomena 2BS</w:t>
      </w:r>
    </w:p>
    <w:p w14:paraId="418F3DFC" w14:textId="77777777" w:rsidR="006A5E75" w:rsidRPr="00EB68D9" w:rsidRDefault="006A5E75" w:rsidP="002F2FD3">
      <w:pPr>
        <w:jc w:val="both"/>
        <w:rPr>
          <w:rFonts w:ascii="Cambria" w:hAnsi="Cambria"/>
          <w:b/>
          <w:bCs/>
          <w:noProof/>
          <w:color w:val="000000"/>
          <w:sz w:val="22"/>
          <w:szCs w:val="22"/>
          <w:lang w:val="sr-Latn-BA"/>
        </w:rPr>
      </w:pPr>
    </w:p>
    <w:bookmarkEnd w:id="7"/>
    <w:bookmarkEnd w:id="8"/>
    <w:bookmarkEnd w:id="9"/>
    <w:bookmarkEnd w:id="10"/>
    <w:bookmarkEnd w:id="11"/>
    <w:bookmarkEnd w:id="12"/>
    <w:bookmarkEnd w:id="13"/>
    <w:bookmarkEnd w:id="14"/>
    <w:bookmarkEnd w:id="15"/>
    <w:bookmarkEnd w:id="16"/>
    <w:p w14:paraId="24167161" w14:textId="44B79B78" w:rsidR="00F043D9" w:rsidRPr="00F043D9" w:rsidRDefault="00F043D9" w:rsidP="00C769A7">
      <w:pPr>
        <w:ind w:firstLine="360"/>
        <w:jc w:val="both"/>
        <w:rPr>
          <w:rFonts w:ascii="Cambria" w:hAnsi="Cambria"/>
          <w:noProof/>
          <w:sz w:val="22"/>
          <w:szCs w:val="22"/>
          <w:lang w:val="sr-Latn-BA"/>
        </w:rPr>
      </w:pPr>
      <w:r w:rsidRPr="00F043D9">
        <w:rPr>
          <w:rFonts w:ascii="Cambria" w:hAnsi="Cambria"/>
          <w:noProof/>
          <w:sz w:val="22"/>
          <w:szCs w:val="22"/>
          <w:lang w:val="sr-Latn-BA"/>
        </w:rPr>
        <w:t xml:space="preserve">Potraživanja u iznosu </w:t>
      </w:r>
      <w:bookmarkStart w:id="20" w:name="_Hlk132796149"/>
      <w:r w:rsidR="00C769A7">
        <w:rPr>
          <w:rFonts w:ascii="Cambria" w:hAnsi="Cambria"/>
          <w:noProof/>
          <w:sz w:val="22"/>
          <w:szCs w:val="22"/>
          <w:lang w:val="sr-Latn-BA"/>
        </w:rPr>
        <w:t>3</w:t>
      </w:r>
      <w:r w:rsidR="00C80B3C">
        <w:rPr>
          <w:rFonts w:ascii="Cambria" w:hAnsi="Cambria"/>
          <w:noProof/>
          <w:sz w:val="22"/>
          <w:szCs w:val="22"/>
          <w:lang w:val="sr-Latn-BA"/>
        </w:rPr>
        <w:t>5</w:t>
      </w:r>
      <w:r w:rsidR="00C769A7">
        <w:rPr>
          <w:rFonts w:ascii="Cambria" w:hAnsi="Cambria"/>
          <w:noProof/>
          <w:sz w:val="22"/>
          <w:szCs w:val="22"/>
          <w:lang w:val="sr-Latn-BA"/>
        </w:rPr>
        <w:t>,</w:t>
      </w:r>
      <w:r w:rsidR="00C80B3C">
        <w:rPr>
          <w:rFonts w:ascii="Cambria" w:hAnsi="Cambria"/>
          <w:noProof/>
          <w:sz w:val="22"/>
          <w:szCs w:val="22"/>
          <w:lang w:val="sr-Latn-BA"/>
        </w:rPr>
        <w:t>9</w:t>
      </w:r>
      <w:r w:rsidR="00C769A7">
        <w:rPr>
          <w:rFonts w:ascii="Cambria" w:hAnsi="Cambria"/>
          <w:noProof/>
          <w:sz w:val="22"/>
          <w:szCs w:val="22"/>
          <w:lang w:val="sr-Latn-BA"/>
        </w:rPr>
        <w:t>0</w:t>
      </w:r>
      <w:r w:rsidRPr="00F043D9">
        <w:rPr>
          <w:rFonts w:ascii="Cambria" w:hAnsi="Cambria"/>
          <w:noProof/>
          <w:sz w:val="22"/>
          <w:szCs w:val="22"/>
          <w:lang w:val="sr-Latn-BA"/>
        </w:rPr>
        <w:t xml:space="preserve"> </w:t>
      </w:r>
      <w:bookmarkEnd w:id="20"/>
      <w:r w:rsidRPr="00F043D9">
        <w:rPr>
          <w:rFonts w:ascii="Cambria" w:hAnsi="Cambria"/>
          <w:noProof/>
          <w:sz w:val="22"/>
          <w:szCs w:val="22"/>
          <w:lang w:val="sr-Latn-BA"/>
        </w:rPr>
        <w:t>KM čine:</w:t>
      </w:r>
    </w:p>
    <w:p w14:paraId="60DC0D62" w14:textId="58F06D09" w:rsidR="00E16C80" w:rsidRDefault="00F043D9" w:rsidP="00F043D9">
      <w:pPr>
        <w:ind w:firstLine="360"/>
        <w:jc w:val="both"/>
        <w:rPr>
          <w:rFonts w:ascii="Cambria" w:hAnsi="Cambria"/>
          <w:noProof/>
          <w:sz w:val="22"/>
          <w:szCs w:val="22"/>
          <w:lang w:val="sr-Latn-BA"/>
        </w:rPr>
      </w:pPr>
      <w:r w:rsidRPr="00F043D9">
        <w:rPr>
          <w:rFonts w:ascii="Cambria" w:hAnsi="Cambria"/>
          <w:noProof/>
          <w:sz w:val="22"/>
          <w:szCs w:val="22"/>
          <w:lang w:val="sr-Latn-BA"/>
        </w:rPr>
        <w:t xml:space="preserve">       -     </w:t>
      </w:r>
      <w:r w:rsidR="00C80B3C">
        <w:rPr>
          <w:rFonts w:ascii="Cambria" w:hAnsi="Cambria"/>
          <w:noProof/>
          <w:sz w:val="22"/>
          <w:szCs w:val="22"/>
          <w:lang w:val="sr-Latn-BA"/>
        </w:rPr>
        <w:t>35,90</w:t>
      </w:r>
      <w:r w:rsidR="00C80B3C" w:rsidRPr="00F043D9">
        <w:rPr>
          <w:rFonts w:ascii="Cambria" w:hAnsi="Cambria"/>
          <w:noProof/>
          <w:sz w:val="22"/>
          <w:szCs w:val="22"/>
          <w:lang w:val="sr-Latn-BA"/>
        </w:rPr>
        <w:t xml:space="preserve"> </w:t>
      </w:r>
      <w:r w:rsidRPr="00F043D9">
        <w:rPr>
          <w:rFonts w:ascii="Cambria" w:hAnsi="Cambria"/>
          <w:noProof/>
          <w:sz w:val="22"/>
          <w:szCs w:val="22"/>
          <w:lang w:val="sr-Latn-BA"/>
        </w:rPr>
        <w:t>KM potraživanja od Društva po osnovu bankarske provizije.</w:t>
      </w:r>
    </w:p>
    <w:p w14:paraId="441EC63B" w14:textId="77777777" w:rsidR="00F043D9" w:rsidRDefault="00F043D9" w:rsidP="00F043D9">
      <w:pPr>
        <w:ind w:firstLine="360"/>
        <w:jc w:val="both"/>
        <w:rPr>
          <w:rFonts w:ascii="Cambria" w:hAnsi="Cambria"/>
          <w:noProof/>
          <w:sz w:val="22"/>
          <w:szCs w:val="22"/>
          <w:lang w:val="sr-Latn-BA"/>
        </w:rPr>
      </w:pPr>
    </w:p>
    <w:p w14:paraId="51B589A9" w14:textId="7B1A614A" w:rsidR="002F2FD3" w:rsidRDefault="002F2FD3" w:rsidP="002F2FD3">
      <w:pPr>
        <w:jc w:val="both"/>
        <w:rPr>
          <w:rFonts w:ascii="Cambria" w:hAnsi="Cambria"/>
          <w:b/>
          <w:bCs/>
          <w:noProof/>
          <w:sz w:val="22"/>
          <w:szCs w:val="22"/>
          <w:lang w:val="sr-Latn-BA"/>
        </w:rPr>
      </w:pPr>
      <w:r>
        <w:rPr>
          <w:rFonts w:ascii="Cambria" w:hAnsi="Cambria"/>
          <w:b/>
          <w:bCs/>
          <w:noProof/>
          <w:sz w:val="22"/>
          <w:szCs w:val="22"/>
          <w:lang w:val="sr-Latn-BA"/>
        </w:rPr>
        <w:t xml:space="preserve">       </w:t>
      </w:r>
      <w:r w:rsidRPr="00EB68D9">
        <w:rPr>
          <w:rFonts w:ascii="Cambria" w:hAnsi="Cambria"/>
          <w:b/>
          <w:bCs/>
          <w:noProof/>
          <w:sz w:val="22"/>
          <w:szCs w:val="22"/>
          <w:lang w:val="sr-Latn-BA"/>
        </w:rPr>
        <w:t>Obaveze – Napomena 3BS</w:t>
      </w:r>
    </w:p>
    <w:p w14:paraId="3E1352BD" w14:textId="77777777" w:rsidR="006A5E75" w:rsidRPr="002F2FD3" w:rsidRDefault="006A5E75" w:rsidP="002F2FD3">
      <w:pPr>
        <w:jc w:val="both"/>
        <w:rPr>
          <w:rFonts w:ascii="Cambria" w:hAnsi="Cambria"/>
          <w:b/>
          <w:bCs/>
          <w:noProof/>
          <w:sz w:val="22"/>
          <w:szCs w:val="22"/>
          <w:lang w:val="sr-Latn-BA"/>
        </w:rPr>
      </w:pPr>
    </w:p>
    <w:p w14:paraId="0BE2D297" w14:textId="026414A7" w:rsidR="00FF6719" w:rsidRPr="00A13C71" w:rsidRDefault="00FF6719" w:rsidP="00BB0293">
      <w:pPr>
        <w:ind w:firstLine="360"/>
        <w:jc w:val="both"/>
        <w:rPr>
          <w:rFonts w:ascii="Cambria" w:hAnsi="Cambria"/>
          <w:noProof/>
          <w:sz w:val="22"/>
          <w:szCs w:val="22"/>
          <w:lang w:val="sr-Latn-BA"/>
        </w:rPr>
      </w:pPr>
      <w:r w:rsidRPr="00A13C71">
        <w:rPr>
          <w:rFonts w:ascii="Cambria" w:hAnsi="Cambria"/>
          <w:noProof/>
          <w:sz w:val="22"/>
          <w:szCs w:val="22"/>
          <w:lang w:val="sr-Latn-BA"/>
        </w:rPr>
        <w:t xml:space="preserve">Obaveze u iznosu </w:t>
      </w:r>
      <w:r w:rsidR="00652099">
        <w:rPr>
          <w:rFonts w:ascii="Cambria" w:hAnsi="Cambria"/>
          <w:noProof/>
          <w:sz w:val="22"/>
          <w:szCs w:val="22"/>
          <w:lang w:val="sr-Latn-BA"/>
        </w:rPr>
        <w:t>32.706,30</w:t>
      </w:r>
      <w:r w:rsidRPr="00A13C71">
        <w:rPr>
          <w:rFonts w:ascii="Cambria" w:hAnsi="Cambria"/>
          <w:noProof/>
          <w:sz w:val="22"/>
          <w:szCs w:val="22"/>
          <w:lang w:val="sr-Latn-BA"/>
        </w:rPr>
        <w:t xml:space="preserve"> KM čine:</w:t>
      </w:r>
    </w:p>
    <w:p w14:paraId="74471E39" w14:textId="02D1E11F" w:rsidR="00D2533B" w:rsidRPr="00A13C71" w:rsidRDefault="00FF6719" w:rsidP="000262A8">
      <w:pPr>
        <w:ind w:firstLine="360"/>
        <w:jc w:val="both"/>
        <w:rPr>
          <w:rFonts w:ascii="Cambria" w:hAnsi="Cambria"/>
          <w:noProof/>
          <w:sz w:val="22"/>
          <w:szCs w:val="22"/>
          <w:lang w:val="sr-Latn-BA"/>
        </w:rPr>
      </w:pPr>
      <w:r w:rsidRPr="00A13C71">
        <w:rPr>
          <w:rFonts w:ascii="Cambria" w:hAnsi="Cambria"/>
          <w:noProof/>
          <w:sz w:val="22"/>
          <w:szCs w:val="22"/>
          <w:lang w:val="sr-Latn-BA"/>
        </w:rPr>
        <w:t>-</w:t>
      </w:r>
      <w:r w:rsidR="00196689" w:rsidRPr="00A13C71">
        <w:rPr>
          <w:rFonts w:ascii="Cambria" w:hAnsi="Cambria"/>
          <w:noProof/>
          <w:sz w:val="22"/>
          <w:szCs w:val="22"/>
          <w:lang w:val="sr-Latn-BA"/>
        </w:rPr>
        <w:t xml:space="preserve"> </w:t>
      </w:r>
      <w:r w:rsidR="000262A8" w:rsidRPr="00A13C71">
        <w:rPr>
          <w:rFonts w:ascii="Cambria" w:hAnsi="Cambria"/>
          <w:noProof/>
          <w:sz w:val="22"/>
          <w:szCs w:val="22"/>
          <w:lang w:val="sr-Latn-BA"/>
        </w:rPr>
        <w:tab/>
      </w:r>
      <w:r w:rsidR="0033759C" w:rsidRPr="00A13C71">
        <w:rPr>
          <w:rFonts w:ascii="Cambria" w:hAnsi="Cambria"/>
          <w:noProof/>
          <w:sz w:val="22"/>
          <w:szCs w:val="22"/>
          <w:lang w:val="sr-Latn-BA"/>
        </w:rPr>
        <w:t>obaveze prema Društvu za upravljanje</w:t>
      </w:r>
      <w:r w:rsidR="00D2533B" w:rsidRPr="00A13C71">
        <w:rPr>
          <w:rFonts w:ascii="Cambria" w:hAnsi="Cambria"/>
          <w:noProof/>
          <w:sz w:val="22"/>
          <w:szCs w:val="22"/>
          <w:lang w:val="sr-Latn-BA"/>
        </w:rPr>
        <w:t>:</w:t>
      </w:r>
    </w:p>
    <w:p w14:paraId="45B39796" w14:textId="30CE2F4E" w:rsidR="0033759C" w:rsidRPr="00A13C71" w:rsidRDefault="00652099" w:rsidP="00D2533B">
      <w:pPr>
        <w:pStyle w:val="ListParagraph"/>
        <w:numPr>
          <w:ilvl w:val="0"/>
          <w:numId w:val="16"/>
        </w:numPr>
        <w:jc w:val="both"/>
        <w:rPr>
          <w:rFonts w:ascii="Cambria" w:hAnsi="Cambria"/>
          <w:noProof/>
          <w:sz w:val="22"/>
          <w:szCs w:val="22"/>
          <w:lang w:val="sr-Latn-BA"/>
        </w:rPr>
      </w:pPr>
      <w:r>
        <w:rPr>
          <w:rFonts w:ascii="Cambria" w:hAnsi="Cambria"/>
          <w:noProof/>
          <w:sz w:val="22"/>
          <w:szCs w:val="22"/>
          <w:lang w:val="sr-Latn-BA"/>
        </w:rPr>
        <w:t>32.500,29</w:t>
      </w:r>
      <w:r w:rsidR="00F03ECD" w:rsidRPr="00A13C71">
        <w:rPr>
          <w:rFonts w:ascii="Cambria" w:hAnsi="Cambria"/>
          <w:noProof/>
          <w:sz w:val="22"/>
          <w:szCs w:val="22"/>
          <w:lang w:val="sr-Latn-BA"/>
        </w:rPr>
        <w:t xml:space="preserve"> </w:t>
      </w:r>
      <w:r w:rsidR="00D2533B" w:rsidRPr="00A13C71">
        <w:rPr>
          <w:rFonts w:ascii="Cambria" w:hAnsi="Cambria"/>
          <w:noProof/>
          <w:sz w:val="22"/>
          <w:szCs w:val="22"/>
          <w:lang w:val="sr-Latn-BA"/>
        </w:rPr>
        <w:t>KM</w:t>
      </w:r>
      <w:r w:rsidR="0033759C" w:rsidRPr="00A13C71">
        <w:rPr>
          <w:rFonts w:ascii="Cambria" w:hAnsi="Cambria"/>
          <w:noProof/>
          <w:sz w:val="22"/>
          <w:szCs w:val="22"/>
          <w:lang w:val="sr-Latn-BA"/>
        </w:rPr>
        <w:t xml:space="preserve"> </w:t>
      </w:r>
      <w:r w:rsidR="000262A8" w:rsidRPr="00A13C71">
        <w:rPr>
          <w:rFonts w:ascii="Cambria" w:hAnsi="Cambria"/>
          <w:noProof/>
          <w:sz w:val="22"/>
          <w:szCs w:val="22"/>
          <w:lang w:val="sr-Latn-BA"/>
        </w:rPr>
        <w:t xml:space="preserve">po osnovu </w:t>
      </w:r>
      <w:r w:rsidR="0033759C" w:rsidRPr="00A13C71">
        <w:rPr>
          <w:rFonts w:ascii="Cambria" w:hAnsi="Cambria"/>
          <w:noProof/>
          <w:sz w:val="22"/>
          <w:szCs w:val="22"/>
          <w:lang w:val="sr-Latn-BA"/>
        </w:rPr>
        <w:t>upra</w:t>
      </w:r>
      <w:r w:rsidR="00C472EC" w:rsidRPr="00A13C71">
        <w:rPr>
          <w:rFonts w:ascii="Cambria" w:hAnsi="Cambria"/>
          <w:noProof/>
          <w:sz w:val="22"/>
          <w:szCs w:val="22"/>
          <w:lang w:val="sr-Latn-BA"/>
        </w:rPr>
        <w:t xml:space="preserve">vljačke provizije za mjesec </w:t>
      </w:r>
      <w:r w:rsidR="001443DB">
        <w:rPr>
          <w:rFonts w:ascii="Cambria" w:hAnsi="Cambria"/>
          <w:noProof/>
          <w:sz w:val="22"/>
          <w:szCs w:val="22"/>
          <w:lang w:val="sr-Latn-BA"/>
        </w:rPr>
        <w:t xml:space="preserve">novembar i </w:t>
      </w:r>
      <w:r>
        <w:rPr>
          <w:rFonts w:ascii="Cambria" w:hAnsi="Cambria"/>
          <w:noProof/>
          <w:sz w:val="22"/>
          <w:szCs w:val="22"/>
          <w:lang w:val="sr-Latn-BA"/>
        </w:rPr>
        <w:t>decembar</w:t>
      </w:r>
      <w:r w:rsidR="00FF6719" w:rsidRPr="00A13C71">
        <w:rPr>
          <w:rFonts w:ascii="Cambria" w:hAnsi="Cambria"/>
          <w:noProof/>
          <w:sz w:val="22"/>
          <w:szCs w:val="22"/>
          <w:lang w:val="sr-Latn-BA"/>
        </w:rPr>
        <w:t xml:space="preserve"> </w:t>
      </w:r>
      <w:r w:rsidR="0033759C" w:rsidRPr="00A13C71">
        <w:rPr>
          <w:rFonts w:ascii="Cambria" w:hAnsi="Cambria"/>
          <w:noProof/>
          <w:sz w:val="22"/>
          <w:szCs w:val="22"/>
          <w:lang w:val="sr-Latn-BA"/>
        </w:rPr>
        <w:t xml:space="preserve"> 20</w:t>
      </w:r>
      <w:r w:rsidR="00FF6719" w:rsidRPr="00A13C71">
        <w:rPr>
          <w:rFonts w:ascii="Cambria" w:hAnsi="Cambria"/>
          <w:noProof/>
          <w:sz w:val="22"/>
          <w:szCs w:val="22"/>
          <w:lang w:val="sr-Latn-BA"/>
        </w:rPr>
        <w:t>2</w:t>
      </w:r>
      <w:r w:rsidR="00F043D9">
        <w:rPr>
          <w:rFonts w:ascii="Cambria" w:hAnsi="Cambria"/>
          <w:noProof/>
          <w:sz w:val="22"/>
          <w:szCs w:val="22"/>
          <w:lang w:val="sr-Latn-BA"/>
        </w:rPr>
        <w:t>3</w:t>
      </w:r>
      <w:r w:rsidR="0033759C" w:rsidRPr="00A13C71">
        <w:rPr>
          <w:rFonts w:ascii="Cambria" w:hAnsi="Cambria"/>
          <w:noProof/>
          <w:sz w:val="22"/>
          <w:szCs w:val="22"/>
          <w:lang w:val="sr-Latn-BA"/>
        </w:rPr>
        <w:t>. godine</w:t>
      </w:r>
      <w:r w:rsidR="007D2BB4" w:rsidRPr="00A13C71">
        <w:rPr>
          <w:rFonts w:ascii="Cambria" w:hAnsi="Cambria"/>
          <w:noProof/>
          <w:sz w:val="22"/>
          <w:szCs w:val="22"/>
          <w:lang w:val="sr-Latn-BA"/>
        </w:rPr>
        <w:t xml:space="preserve"> i</w:t>
      </w:r>
    </w:p>
    <w:p w14:paraId="38A2B71E" w14:textId="3259AFC1" w:rsidR="00D2533B" w:rsidRDefault="00652099" w:rsidP="00D2533B">
      <w:pPr>
        <w:pStyle w:val="ListParagraph"/>
        <w:numPr>
          <w:ilvl w:val="0"/>
          <w:numId w:val="16"/>
        </w:numPr>
        <w:jc w:val="both"/>
        <w:rPr>
          <w:rFonts w:ascii="Cambria" w:hAnsi="Cambria"/>
          <w:noProof/>
          <w:sz w:val="22"/>
          <w:szCs w:val="22"/>
          <w:lang w:val="sr-Latn-BA"/>
        </w:rPr>
      </w:pPr>
      <w:r>
        <w:rPr>
          <w:rFonts w:ascii="Cambria" w:hAnsi="Cambria"/>
          <w:noProof/>
          <w:sz w:val="22"/>
          <w:szCs w:val="22"/>
          <w:lang w:val="sr-Latn-BA"/>
        </w:rPr>
        <w:t>200,01</w:t>
      </w:r>
      <w:r w:rsidR="00437AE2" w:rsidRPr="00A13C71">
        <w:rPr>
          <w:rFonts w:ascii="Cambria" w:hAnsi="Cambria"/>
          <w:noProof/>
          <w:sz w:val="22"/>
          <w:szCs w:val="22"/>
          <w:lang w:val="sr-Latn-BA"/>
        </w:rPr>
        <w:t xml:space="preserve"> KM </w:t>
      </w:r>
      <w:r w:rsidR="00D2533B" w:rsidRPr="00A13C71">
        <w:rPr>
          <w:rFonts w:ascii="Cambria" w:hAnsi="Cambria"/>
          <w:noProof/>
          <w:sz w:val="22"/>
          <w:szCs w:val="22"/>
          <w:lang w:val="sr-Latn-BA"/>
        </w:rPr>
        <w:t xml:space="preserve"> </w:t>
      </w:r>
      <w:r w:rsidR="000262A8" w:rsidRPr="00A13C71">
        <w:rPr>
          <w:rFonts w:ascii="Cambria" w:hAnsi="Cambria"/>
          <w:noProof/>
          <w:sz w:val="22"/>
          <w:szCs w:val="22"/>
          <w:lang w:val="sr-Latn-BA"/>
        </w:rPr>
        <w:t xml:space="preserve">po osnovu </w:t>
      </w:r>
      <w:r w:rsidR="00D2533B" w:rsidRPr="00A13C71">
        <w:rPr>
          <w:rFonts w:ascii="Cambria" w:hAnsi="Cambria"/>
          <w:noProof/>
          <w:sz w:val="22"/>
          <w:szCs w:val="22"/>
          <w:lang w:val="sr-Latn-BA"/>
        </w:rPr>
        <w:t>izlazne provizije</w:t>
      </w:r>
      <w:r w:rsidR="002C1E2A" w:rsidRPr="00A13C71">
        <w:rPr>
          <w:rFonts w:ascii="Cambria" w:hAnsi="Cambria"/>
          <w:noProof/>
          <w:sz w:val="22"/>
          <w:szCs w:val="22"/>
          <w:lang w:val="sr-Latn-BA"/>
        </w:rPr>
        <w:t xml:space="preserve"> ( 3,5% )</w:t>
      </w:r>
      <w:r w:rsidR="00907342" w:rsidRPr="00A13C71">
        <w:rPr>
          <w:rFonts w:ascii="Cambria" w:hAnsi="Cambria"/>
          <w:noProof/>
          <w:sz w:val="22"/>
          <w:szCs w:val="22"/>
          <w:lang w:val="sr-Latn-BA"/>
        </w:rPr>
        <w:t>.</w:t>
      </w:r>
    </w:p>
    <w:p w14:paraId="6B72746B" w14:textId="77777777" w:rsidR="00C769A7" w:rsidRPr="00C769A7" w:rsidRDefault="00C769A7" w:rsidP="00C769A7">
      <w:pPr>
        <w:ind w:left="720"/>
        <w:jc w:val="both"/>
        <w:rPr>
          <w:rFonts w:ascii="Cambria" w:hAnsi="Cambria"/>
          <w:noProof/>
          <w:sz w:val="22"/>
          <w:szCs w:val="22"/>
          <w:lang w:val="sr-Latn-BA"/>
        </w:rPr>
      </w:pPr>
    </w:p>
    <w:p w14:paraId="4E182BDD" w14:textId="0A32C16D" w:rsidR="004F2F31" w:rsidRPr="00A13C71" w:rsidRDefault="004F2F31" w:rsidP="00BB0293">
      <w:pPr>
        <w:pStyle w:val="BodyTextIndent"/>
        <w:suppressAutoHyphens/>
        <w:ind w:left="0" w:firstLine="360"/>
        <w:jc w:val="both"/>
        <w:rPr>
          <w:rFonts w:ascii="Cambria" w:hAnsi="Cambria"/>
          <w:noProof/>
          <w:sz w:val="22"/>
          <w:szCs w:val="22"/>
          <w:lang w:val="sr-Latn-BA"/>
        </w:rPr>
      </w:pPr>
      <w:r w:rsidRPr="00A13C71">
        <w:rPr>
          <w:rFonts w:ascii="Cambria" w:hAnsi="Cambria"/>
          <w:noProof/>
          <w:sz w:val="22"/>
          <w:szCs w:val="22"/>
          <w:lang w:val="sr-Latn-BA"/>
        </w:rPr>
        <w:t>Osnivački kapital-udjeli Fonda je utvrđen u skladu sa Odlukom o djelimičnim preoblikovanju AZIF-a u preoblikovanju „Polara Invest Fond“ a.d. Banja Luka broj SK 149/17 od 30.11.2017. godine, te smanjenje osnovnog kapitala AZIF-a u preoblikovanju „Polara Invest Fond“ a.d. Banja Luka izdvajanjem imovine za osnivanje otvorenog investicionog fonda i iznos pripadajućih gubitaka vezanih za odvojenu imovinu, u vrijednosti od 10.878.988 KM .</w:t>
      </w:r>
    </w:p>
    <w:p w14:paraId="10579A59" w14:textId="071FD877" w:rsidR="004F2F31" w:rsidRPr="00A13C71" w:rsidRDefault="004F2F31" w:rsidP="00BB0293">
      <w:pPr>
        <w:pStyle w:val="BodyTextIndent"/>
        <w:suppressAutoHyphens/>
        <w:ind w:left="0" w:firstLine="360"/>
        <w:jc w:val="both"/>
        <w:rPr>
          <w:rFonts w:ascii="Cambria" w:hAnsi="Cambria"/>
          <w:noProof/>
          <w:sz w:val="22"/>
          <w:szCs w:val="22"/>
          <w:lang w:val="sr-Latn-BA"/>
        </w:rPr>
      </w:pPr>
      <w:r w:rsidRPr="00A13C71">
        <w:rPr>
          <w:rFonts w:ascii="Cambria" w:hAnsi="Cambria"/>
          <w:noProof/>
          <w:sz w:val="22"/>
          <w:szCs w:val="22"/>
          <w:lang w:val="sr-Latn-BA"/>
        </w:rPr>
        <w:t>Osnovni kapital je raspoređen na vlasnike udjela na način da svakom vlasniku pripada broj udjela srazmjezmjeran broju akcija u AZIF-a „Polara Invest Fond“ a.d. Banja Luka na dan osnivanja otvorenog investicionog fonda Adriatic Balanced</w:t>
      </w:r>
      <w:r w:rsidR="00A13C71">
        <w:rPr>
          <w:rFonts w:ascii="Cambria" w:hAnsi="Cambria"/>
          <w:noProof/>
          <w:sz w:val="22"/>
          <w:szCs w:val="22"/>
          <w:lang w:val="sr-Latn-BA"/>
        </w:rPr>
        <w:t>,</w:t>
      </w:r>
      <w:r w:rsidRPr="00A13C71">
        <w:rPr>
          <w:rFonts w:ascii="Cambria" w:hAnsi="Cambria"/>
          <w:noProof/>
          <w:sz w:val="22"/>
          <w:szCs w:val="22"/>
          <w:lang w:val="sr-Latn-BA"/>
        </w:rPr>
        <w:t xml:space="preserve"> a na osnovu liste akcionara u Centralnom registru hartija od vrijednosti Republike Srpske. Na dan prenosa imovine iz zatvorenog u otvoreni fond broj emitovanih udjela 1.679.212  koliki je bio i  broj akcija AZIF-a.</w:t>
      </w:r>
    </w:p>
    <w:p w14:paraId="0BC912BD" w14:textId="0711E214" w:rsidR="004F2F31" w:rsidRDefault="004F2F31" w:rsidP="00BB0293">
      <w:pPr>
        <w:pStyle w:val="BodyTextIndent"/>
        <w:suppressAutoHyphens/>
        <w:ind w:left="0" w:firstLine="360"/>
        <w:jc w:val="both"/>
        <w:rPr>
          <w:rFonts w:ascii="Cambria" w:hAnsi="Cambria"/>
          <w:noProof/>
          <w:sz w:val="22"/>
          <w:szCs w:val="22"/>
          <w:lang w:val="sr-Latn-BA"/>
        </w:rPr>
      </w:pPr>
      <w:r w:rsidRPr="00A13C71">
        <w:rPr>
          <w:rFonts w:ascii="Cambria" w:hAnsi="Cambria"/>
          <w:noProof/>
          <w:sz w:val="22"/>
          <w:szCs w:val="22"/>
          <w:lang w:val="sr-Latn-BA"/>
        </w:rPr>
        <w:lastRenderedPageBreak/>
        <w:t xml:space="preserve">Prospektom je definisano da će Fond u prve dvije godine dva puta vršiti otkup udjela i to u periodu do 12 i 18 mjeseci od registracije u Centralnom registru . Nakon isteka dvije godine nakon osnivanja, od 26.05.2020. godine Društvo vrši </w:t>
      </w:r>
      <w:r w:rsidR="00A13C71">
        <w:rPr>
          <w:rFonts w:ascii="Cambria" w:hAnsi="Cambria"/>
          <w:noProof/>
          <w:sz w:val="22"/>
          <w:szCs w:val="22"/>
          <w:lang w:val="sr-Latn-BA"/>
        </w:rPr>
        <w:t>svako</w:t>
      </w:r>
      <w:r w:rsidRPr="00A13C71">
        <w:rPr>
          <w:rFonts w:ascii="Cambria" w:hAnsi="Cambria"/>
          <w:noProof/>
          <w:sz w:val="22"/>
          <w:szCs w:val="22"/>
          <w:lang w:val="sr-Latn-BA"/>
        </w:rPr>
        <w:t>dnevni prijem zahtjeva za otkup i kupovinu zahtjeva.</w:t>
      </w:r>
    </w:p>
    <w:p w14:paraId="774F6FC2" w14:textId="7BA7F5B5" w:rsidR="002F2FD3" w:rsidRDefault="002F2FD3" w:rsidP="002F2FD3">
      <w:pPr>
        <w:jc w:val="both"/>
        <w:rPr>
          <w:rFonts w:ascii="Cambria" w:hAnsi="Cambria" w:cs="Calibri"/>
          <w:b/>
          <w:bCs/>
          <w:noProof/>
          <w:sz w:val="22"/>
          <w:szCs w:val="22"/>
          <w:lang w:val="sr-Latn-BA"/>
        </w:rPr>
      </w:pPr>
      <w:r>
        <w:rPr>
          <w:rFonts w:ascii="Cambria" w:hAnsi="Cambria" w:cs="Calibri"/>
          <w:b/>
          <w:bCs/>
          <w:noProof/>
          <w:sz w:val="22"/>
          <w:szCs w:val="22"/>
          <w:lang w:val="sr-Latn-BA"/>
        </w:rPr>
        <w:t>Kapital- Napomena 4BS</w:t>
      </w:r>
    </w:p>
    <w:p w14:paraId="758A10FE" w14:textId="77777777" w:rsidR="006A5E75" w:rsidRPr="00EB68D9" w:rsidRDefault="006A5E75" w:rsidP="002F2FD3">
      <w:pPr>
        <w:jc w:val="both"/>
        <w:rPr>
          <w:rFonts w:ascii="Cambria" w:hAnsi="Cambria" w:cs="Calibri"/>
          <w:b/>
          <w:bCs/>
          <w:noProof/>
          <w:sz w:val="22"/>
          <w:szCs w:val="22"/>
          <w:lang w:val="sr-Latn-BA"/>
        </w:rPr>
      </w:pPr>
    </w:p>
    <w:p w14:paraId="3D7F4A68" w14:textId="64E90942" w:rsidR="002F2FD3" w:rsidRPr="006424B3" w:rsidRDefault="002F2FD3" w:rsidP="002F2FD3">
      <w:pPr>
        <w:pStyle w:val="BodyText"/>
        <w:ind w:firstLine="360"/>
        <w:jc w:val="both"/>
        <w:rPr>
          <w:rFonts w:ascii="Cambria" w:hAnsi="Cambria"/>
          <w:noProof/>
          <w:sz w:val="22"/>
          <w:szCs w:val="22"/>
          <w:lang w:val="sr-Latn-BA"/>
        </w:rPr>
      </w:pPr>
      <w:r w:rsidRPr="006424B3">
        <w:rPr>
          <w:rFonts w:ascii="Cambria" w:hAnsi="Cambria"/>
          <w:noProof/>
          <w:sz w:val="22"/>
          <w:szCs w:val="22"/>
          <w:lang w:val="sr-Latn-BA"/>
        </w:rPr>
        <w:t>Osnovni kapital- udjeli fonda na dan bilansa 3</w:t>
      </w:r>
      <w:r w:rsidR="00782B88">
        <w:rPr>
          <w:rFonts w:ascii="Cambria" w:hAnsi="Cambria"/>
          <w:noProof/>
          <w:sz w:val="22"/>
          <w:szCs w:val="22"/>
          <w:lang w:val="sr-Latn-BA"/>
        </w:rPr>
        <w:t>1</w:t>
      </w:r>
      <w:r w:rsidRPr="006424B3">
        <w:rPr>
          <w:rFonts w:ascii="Cambria" w:hAnsi="Cambria"/>
          <w:noProof/>
          <w:sz w:val="22"/>
          <w:szCs w:val="22"/>
          <w:lang w:val="sr-Latn-BA"/>
        </w:rPr>
        <w:t>.</w:t>
      </w:r>
      <w:r w:rsidR="00782B88">
        <w:rPr>
          <w:rFonts w:ascii="Cambria" w:hAnsi="Cambria"/>
          <w:noProof/>
          <w:sz w:val="22"/>
          <w:szCs w:val="22"/>
          <w:lang w:val="sr-Latn-BA"/>
        </w:rPr>
        <w:t>12</w:t>
      </w:r>
      <w:r w:rsidRPr="006424B3">
        <w:rPr>
          <w:rFonts w:ascii="Cambria" w:hAnsi="Cambria"/>
          <w:noProof/>
          <w:sz w:val="22"/>
          <w:szCs w:val="22"/>
          <w:lang w:val="sr-Latn-BA"/>
        </w:rPr>
        <w:t>.202</w:t>
      </w:r>
      <w:r w:rsidR="00FB2CF9">
        <w:rPr>
          <w:rFonts w:ascii="Cambria" w:hAnsi="Cambria"/>
          <w:noProof/>
          <w:sz w:val="22"/>
          <w:szCs w:val="22"/>
          <w:lang w:val="sr-Latn-BA"/>
        </w:rPr>
        <w:t>3</w:t>
      </w:r>
      <w:r w:rsidRPr="006424B3">
        <w:rPr>
          <w:rFonts w:ascii="Cambria" w:hAnsi="Cambria"/>
          <w:noProof/>
          <w:sz w:val="22"/>
          <w:szCs w:val="22"/>
          <w:lang w:val="sr-Latn-BA"/>
        </w:rPr>
        <w:t xml:space="preserve">. godine iznosi </w:t>
      </w:r>
      <w:r w:rsidR="00E66EA7">
        <w:rPr>
          <w:rFonts w:ascii="Cambria" w:hAnsi="Cambria"/>
          <w:noProof/>
          <w:sz w:val="22"/>
          <w:szCs w:val="22"/>
          <w:lang w:val="sr-Latn-BA"/>
        </w:rPr>
        <w:t>5.440.686,92</w:t>
      </w:r>
      <w:r w:rsidRPr="006424B3">
        <w:rPr>
          <w:rFonts w:ascii="Cambria" w:hAnsi="Cambria"/>
          <w:noProof/>
          <w:sz w:val="22"/>
          <w:szCs w:val="22"/>
          <w:lang w:val="sr-Latn-BA"/>
        </w:rPr>
        <w:t xml:space="preserve"> KM.</w:t>
      </w:r>
    </w:p>
    <w:p w14:paraId="6BDC2843" w14:textId="0CF86C53" w:rsidR="00441718" w:rsidRPr="00A13C71" w:rsidRDefault="00FB2CF9" w:rsidP="00BB0293">
      <w:pPr>
        <w:pStyle w:val="BodyTextIndent"/>
        <w:suppressAutoHyphens/>
        <w:spacing w:after="0"/>
        <w:ind w:left="0" w:firstLine="360"/>
        <w:jc w:val="both"/>
        <w:rPr>
          <w:rFonts w:ascii="Cambria" w:hAnsi="Cambria" w:cs="Calibri"/>
          <w:noProof/>
          <w:sz w:val="22"/>
          <w:szCs w:val="22"/>
          <w:lang w:val="sr-Latn-BA"/>
        </w:rPr>
      </w:pPr>
      <w:bookmarkStart w:id="21" w:name="_Hlk108087988"/>
      <w:r w:rsidRPr="00FB2CF9">
        <w:rPr>
          <w:rFonts w:ascii="Cambria" w:hAnsi="Cambria"/>
          <w:noProof/>
          <w:sz w:val="22"/>
          <w:szCs w:val="22"/>
          <w:lang w:val="sr-Latn-BA"/>
        </w:rPr>
        <w:t>U periodu od 01.01.2023. godine do 3</w:t>
      </w:r>
      <w:r w:rsidR="00E66EA7">
        <w:rPr>
          <w:rFonts w:ascii="Cambria" w:hAnsi="Cambria"/>
          <w:noProof/>
          <w:sz w:val="22"/>
          <w:szCs w:val="22"/>
          <w:lang w:val="sr-Latn-BA"/>
        </w:rPr>
        <w:t>1</w:t>
      </w:r>
      <w:r w:rsidRPr="00FB2CF9">
        <w:rPr>
          <w:rFonts w:ascii="Cambria" w:hAnsi="Cambria"/>
          <w:noProof/>
          <w:sz w:val="22"/>
          <w:szCs w:val="22"/>
          <w:lang w:val="sr-Latn-BA"/>
        </w:rPr>
        <w:t>.</w:t>
      </w:r>
      <w:r w:rsidR="00E66EA7">
        <w:rPr>
          <w:rFonts w:ascii="Cambria" w:hAnsi="Cambria"/>
          <w:noProof/>
          <w:sz w:val="22"/>
          <w:szCs w:val="22"/>
          <w:lang w:val="sr-Latn-BA"/>
        </w:rPr>
        <w:t>12</w:t>
      </w:r>
      <w:r w:rsidRPr="00FB2CF9">
        <w:rPr>
          <w:rFonts w:ascii="Cambria" w:hAnsi="Cambria"/>
          <w:noProof/>
          <w:sz w:val="22"/>
          <w:szCs w:val="22"/>
          <w:lang w:val="sr-Latn-BA"/>
        </w:rPr>
        <w:t xml:space="preserve">.2023. godine </w:t>
      </w:r>
      <w:r w:rsidR="00E66EA7">
        <w:rPr>
          <w:rFonts w:ascii="Cambria" w:hAnsi="Cambria"/>
          <w:noProof/>
          <w:sz w:val="22"/>
          <w:szCs w:val="22"/>
          <w:lang w:val="sr-Latn-BA"/>
        </w:rPr>
        <w:t>61</w:t>
      </w:r>
      <w:r w:rsidR="00DE7EA6" w:rsidRPr="00A13C71">
        <w:rPr>
          <w:rFonts w:ascii="Cambria" w:hAnsi="Cambria"/>
          <w:noProof/>
          <w:sz w:val="22"/>
          <w:szCs w:val="22"/>
          <w:lang w:val="sr-Latn-BA"/>
        </w:rPr>
        <w:t xml:space="preserve"> udjelničara</w:t>
      </w:r>
      <w:r w:rsidR="00A13C71">
        <w:rPr>
          <w:rFonts w:ascii="Cambria" w:hAnsi="Cambria"/>
          <w:noProof/>
          <w:sz w:val="22"/>
          <w:szCs w:val="22"/>
          <w:lang w:val="sr-Latn-BA"/>
        </w:rPr>
        <w:t xml:space="preserve"> je podnijelo zahtjev za otkup ukupno </w:t>
      </w:r>
      <w:r w:rsidR="00E66EA7">
        <w:rPr>
          <w:rFonts w:ascii="Cambria" w:hAnsi="Cambria"/>
          <w:noProof/>
          <w:sz w:val="22"/>
          <w:szCs w:val="22"/>
          <w:lang w:val="sr-Latn-BA"/>
        </w:rPr>
        <w:t>3.537</w:t>
      </w:r>
      <w:r w:rsidR="00102FAC" w:rsidRPr="00A13C71">
        <w:rPr>
          <w:rFonts w:ascii="Cambria" w:hAnsi="Cambria"/>
          <w:noProof/>
          <w:sz w:val="22"/>
          <w:szCs w:val="22"/>
          <w:lang w:val="sr-Latn-BA"/>
        </w:rPr>
        <w:t xml:space="preserve"> udjela</w:t>
      </w:r>
      <w:r w:rsidR="00DE7EA6" w:rsidRPr="00A13C71">
        <w:rPr>
          <w:rFonts w:ascii="Cambria" w:hAnsi="Cambria"/>
          <w:noProof/>
          <w:sz w:val="22"/>
          <w:szCs w:val="22"/>
          <w:lang w:val="sr-Latn-BA"/>
        </w:rPr>
        <w:t>, tako da b</w:t>
      </w:r>
      <w:r w:rsidR="004F2F31" w:rsidRPr="00A13C71">
        <w:rPr>
          <w:rFonts w:ascii="Cambria" w:hAnsi="Cambria"/>
          <w:noProof/>
          <w:sz w:val="22"/>
          <w:szCs w:val="22"/>
          <w:lang w:val="sr-Latn-BA"/>
        </w:rPr>
        <w:t xml:space="preserve">roj udjela na dan izvještavanja iznosi </w:t>
      </w:r>
      <w:r w:rsidR="00E33580" w:rsidRPr="00A13C71">
        <w:rPr>
          <w:rFonts w:ascii="Cambria" w:hAnsi="Cambria"/>
          <w:noProof/>
          <w:sz w:val="22"/>
          <w:szCs w:val="22"/>
          <w:lang w:val="sr-Latn-BA"/>
        </w:rPr>
        <w:t>7</w:t>
      </w:r>
      <w:r w:rsidR="00AF5BAC">
        <w:rPr>
          <w:rFonts w:ascii="Cambria" w:hAnsi="Cambria"/>
          <w:noProof/>
          <w:sz w:val="22"/>
          <w:szCs w:val="22"/>
          <w:lang w:val="sr-Latn-BA"/>
        </w:rPr>
        <w:t>2</w:t>
      </w:r>
      <w:r w:rsidR="00E66EA7">
        <w:rPr>
          <w:rFonts w:ascii="Cambria" w:hAnsi="Cambria"/>
          <w:noProof/>
          <w:sz w:val="22"/>
          <w:szCs w:val="22"/>
          <w:lang w:val="sr-Latn-BA"/>
        </w:rPr>
        <w:t>7</w:t>
      </w:r>
      <w:r w:rsidR="00C943E5" w:rsidRPr="00A13C71">
        <w:rPr>
          <w:rFonts w:ascii="Cambria" w:hAnsi="Cambria"/>
          <w:noProof/>
          <w:sz w:val="22"/>
          <w:szCs w:val="22"/>
          <w:lang w:val="sr-Latn-BA"/>
        </w:rPr>
        <w:t>.</w:t>
      </w:r>
      <w:r w:rsidR="00E66EA7">
        <w:rPr>
          <w:rFonts w:ascii="Cambria" w:hAnsi="Cambria"/>
          <w:noProof/>
          <w:sz w:val="22"/>
          <w:szCs w:val="22"/>
          <w:lang w:val="sr-Latn-BA"/>
        </w:rPr>
        <w:t>660</w:t>
      </w:r>
      <w:r w:rsidR="004F2F31" w:rsidRPr="00A13C71">
        <w:rPr>
          <w:rFonts w:ascii="Cambria" w:hAnsi="Cambria"/>
          <w:noProof/>
          <w:sz w:val="22"/>
          <w:szCs w:val="22"/>
          <w:lang w:val="sr-Latn-BA"/>
        </w:rPr>
        <w:t>. Vr</w:t>
      </w:r>
      <w:r w:rsidR="0089336B" w:rsidRPr="00A13C71">
        <w:rPr>
          <w:rFonts w:ascii="Cambria" w:hAnsi="Cambria"/>
          <w:noProof/>
          <w:sz w:val="22"/>
          <w:szCs w:val="22"/>
          <w:lang w:val="sr-Latn-BA"/>
        </w:rPr>
        <w:t>ijednost jednog udjela na dan 3</w:t>
      </w:r>
      <w:r w:rsidR="00E66EA7">
        <w:rPr>
          <w:rFonts w:ascii="Cambria" w:hAnsi="Cambria"/>
          <w:noProof/>
          <w:sz w:val="22"/>
          <w:szCs w:val="22"/>
          <w:lang w:val="sr-Latn-BA"/>
        </w:rPr>
        <w:t>1</w:t>
      </w:r>
      <w:r w:rsidR="004F2F31" w:rsidRPr="00A13C71">
        <w:rPr>
          <w:rFonts w:ascii="Cambria" w:hAnsi="Cambria"/>
          <w:noProof/>
          <w:sz w:val="22"/>
          <w:szCs w:val="22"/>
          <w:lang w:val="sr-Latn-BA"/>
        </w:rPr>
        <w:t>.</w:t>
      </w:r>
      <w:r w:rsidR="00E66EA7">
        <w:rPr>
          <w:rFonts w:ascii="Cambria" w:hAnsi="Cambria"/>
          <w:noProof/>
          <w:sz w:val="22"/>
          <w:szCs w:val="22"/>
          <w:lang w:val="sr-Latn-BA"/>
        </w:rPr>
        <w:t>12</w:t>
      </w:r>
      <w:r w:rsidR="004F2F31" w:rsidRPr="00A13C71">
        <w:rPr>
          <w:rFonts w:ascii="Cambria" w:hAnsi="Cambria"/>
          <w:noProof/>
          <w:sz w:val="22"/>
          <w:szCs w:val="22"/>
          <w:lang w:val="sr-Latn-BA"/>
        </w:rPr>
        <w:t>.202</w:t>
      </w:r>
      <w:r w:rsidR="00120430">
        <w:rPr>
          <w:rFonts w:ascii="Cambria" w:hAnsi="Cambria"/>
          <w:noProof/>
          <w:sz w:val="22"/>
          <w:szCs w:val="22"/>
          <w:lang w:val="sr-Latn-BA"/>
        </w:rPr>
        <w:t>3</w:t>
      </w:r>
      <w:r w:rsidR="004F2F31" w:rsidRPr="00A13C71">
        <w:rPr>
          <w:rFonts w:ascii="Cambria" w:hAnsi="Cambria"/>
          <w:noProof/>
          <w:sz w:val="22"/>
          <w:szCs w:val="22"/>
          <w:lang w:val="sr-Latn-BA"/>
        </w:rPr>
        <w:t>.</w:t>
      </w:r>
      <w:r w:rsidR="00C943E5" w:rsidRPr="00A13C71">
        <w:rPr>
          <w:rFonts w:ascii="Cambria" w:hAnsi="Cambria"/>
          <w:noProof/>
          <w:sz w:val="22"/>
          <w:szCs w:val="22"/>
          <w:lang w:val="sr-Latn-BA"/>
        </w:rPr>
        <w:t xml:space="preserve"> </w:t>
      </w:r>
      <w:r w:rsidR="004F2F31" w:rsidRPr="00A13C71">
        <w:rPr>
          <w:rFonts w:ascii="Cambria" w:hAnsi="Cambria"/>
          <w:noProof/>
          <w:sz w:val="22"/>
          <w:szCs w:val="22"/>
          <w:lang w:val="sr-Latn-BA"/>
        </w:rPr>
        <w:t xml:space="preserve">godine je utvrđena u iznosu od </w:t>
      </w:r>
      <w:r w:rsidR="00E66EA7">
        <w:rPr>
          <w:rFonts w:ascii="Cambria" w:hAnsi="Cambria"/>
          <w:noProof/>
          <w:sz w:val="22"/>
          <w:szCs w:val="22"/>
          <w:lang w:val="sr-Latn-BA"/>
        </w:rPr>
        <w:t>8</w:t>
      </w:r>
      <w:r w:rsidR="00971AA9" w:rsidRPr="00A13C71">
        <w:rPr>
          <w:rFonts w:ascii="Cambria" w:hAnsi="Cambria"/>
          <w:noProof/>
          <w:sz w:val="22"/>
          <w:szCs w:val="22"/>
          <w:lang w:val="sr-Latn-BA"/>
        </w:rPr>
        <w:t>,</w:t>
      </w:r>
      <w:r w:rsidR="00E66EA7">
        <w:rPr>
          <w:rFonts w:ascii="Cambria" w:hAnsi="Cambria"/>
          <w:noProof/>
          <w:sz w:val="22"/>
          <w:szCs w:val="22"/>
          <w:lang w:val="sr-Latn-BA"/>
        </w:rPr>
        <w:t>3965</w:t>
      </w:r>
      <w:r>
        <w:rPr>
          <w:rFonts w:ascii="Cambria" w:hAnsi="Cambria"/>
          <w:noProof/>
          <w:sz w:val="22"/>
          <w:szCs w:val="22"/>
          <w:lang w:val="sr-Latn-BA"/>
        </w:rPr>
        <w:t xml:space="preserve"> </w:t>
      </w:r>
      <w:r w:rsidR="004F2F31" w:rsidRPr="00A13C71">
        <w:rPr>
          <w:rFonts w:ascii="Cambria" w:hAnsi="Cambria"/>
          <w:noProof/>
          <w:sz w:val="22"/>
          <w:szCs w:val="22"/>
          <w:lang w:val="sr-Latn-BA"/>
        </w:rPr>
        <w:t xml:space="preserve">KM, a neto imovina </w:t>
      </w:r>
      <w:r w:rsidR="00A13C71">
        <w:rPr>
          <w:rFonts w:ascii="Cambria" w:hAnsi="Cambria"/>
          <w:noProof/>
          <w:sz w:val="22"/>
          <w:szCs w:val="22"/>
          <w:lang w:val="sr-Latn-BA"/>
        </w:rPr>
        <w:t xml:space="preserve">Fonda </w:t>
      </w:r>
      <w:r w:rsidR="004F2F31" w:rsidRPr="00A13C71">
        <w:rPr>
          <w:rFonts w:ascii="Cambria" w:hAnsi="Cambria"/>
          <w:noProof/>
          <w:sz w:val="22"/>
          <w:szCs w:val="22"/>
          <w:lang w:val="sr-Latn-BA"/>
        </w:rPr>
        <w:t xml:space="preserve">iznosi </w:t>
      </w:r>
      <w:r w:rsidR="00E66EA7">
        <w:rPr>
          <w:rFonts w:ascii="Cambria" w:hAnsi="Cambria"/>
          <w:noProof/>
          <w:sz w:val="22"/>
          <w:szCs w:val="22"/>
          <w:lang w:val="sr-Latn-BA"/>
        </w:rPr>
        <w:t>6</w:t>
      </w:r>
      <w:r w:rsidR="00F03ECD">
        <w:rPr>
          <w:rFonts w:ascii="Cambria" w:hAnsi="Cambria"/>
          <w:noProof/>
          <w:sz w:val="22"/>
          <w:szCs w:val="22"/>
          <w:lang w:val="sr-Latn-BA"/>
        </w:rPr>
        <w:t>.</w:t>
      </w:r>
      <w:r w:rsidR="00E66EA7">
        <w:rPr>
          <w:rFonts w:ascii="Cambria" w:hAnsi="Cambria"/>
          <w:noProof/>
          <w:sz w:val="22"/>
          <w:szCs w:val="22"/>
          <w:lang w:val="sr-Latn-BA"/>
        </w:rPr>
        <w:t>109</w:t>
      </w:r>
      <w:r w:rsidR="00F03ECD">
        <w:rPr>
          <w:rFonts w:ascii="Cambria" w:hAnsi="Cambria"/>
          <w:noProof/>
          <w:sz w:val="22"/>
          <w:szCs w:val="22"/>
          <w:lang w:val="sr-Latn-BA"/>
        </w:rPr>
        <w:t>.</w:t>
      </w:r>
      <w:r w:rsidR="00E66EA7">
        <w:rPr>
          <w:rFonts w:ascii="Cambria" w:hAnsi="Cambria"/>
          <w:noProof/>
          <w:sz w:val="22"/>
          <w:szCs w:val="22"/>
          <w:lang w:val="sr-Latn-BA"/>
        </w:rPr>
        <w:t>796</w:t>
      </w:r>
      <w:r w:rsidR="00F03ECD">
        <w:rPr>
          <w:rFonts w:ascii="Cambria" w:hAnsi="Cambria"/>
          <w:noProof/>
          <w:sz w:val="22"/>
          <w:szCs w:val="22"/>
          <w:lang w:val="sr-Latn-BA"/>
        </w:rPr>
        <w:t>,</w:t>
      </w:r>
      <w:r w:rsidR="00E66EA7">
        <w:rPr>
          <w:rFonts w:ascii="Cambria" w:hAnsi="Cambria"/>
          <w:noProof/>
          <w:sz w:val="22"/>
          <w:szCs w:val="22"/>
          <w:lang w:val="sr-Latn-BA"/>
        </w:rPr>
        <w:t>37</w:t>
      </w:r>
      <w:r w:rsidR="004F2F31" w:rsidRPr="00A13C71">
        <w:rPr>
          <w:rFonts w:ascii="Cambria" w:hAnsi="Cambria"/>
          <w:noProof/>
          <w:sz w:val="22"/>
          <w:szCs w:val="22"/>
          <w:lang w:val="sr-Latn-BA"/>
        </w:rPr>
        <w:t xml:space="preserve"> KM.</w:t>
      </w:r>
    </w:p>
    <w:p w14:paraId="1F968E69" w14:textId="7E6A18F6" w:rsidR="00C943E5" w:rsidRPr="00A13C71" w:rsidRDefault="00C943E5" w:rsidP="00ED4BDA">
      <w:pPr>
        <w:pStyle w:val="BodyTextIndent"/>
        <w:suppressAutoHyphens/>
        <w:ind w:left="0"/>
        <w:jc w:val="both"/>
        <w:rPr>
          <w:rFonts w:ascii="Cambria" w:hAnsi="Cambria" w:cs="Calibri"/>
          <w:noProof/>
          <w:sz w:val="22"/>
          <w:szCs w:val="22"/>
          <w:lang w:val="sr-Latn-BA"/>
        </w:rPr>
      </w:pPr>
    </w:p>
    <w:bookmarkEnd w:id="21"/>
    <w:p w14:paraId="21B6D183" w14:textId="4D817C7A" w:rsidR="0033759C" w:rsidRPr="008B7ABE" w:rsidRDefault="0033759C" w:rsidP="0033759C">
      <w:pPr>
        <w:jc w:val="both"/>
        <w:rPr>
          <w:rFonts w:ascii="Cambria" w:hAnsi="Cambria"/>
          <w:b/>
          <w:bCs/>
          <w:i/>
          <w:iCs/>
          <w:noProof/>
          <w:lang w:val="sr-Latn-BA"/>
        </w:rPr>
      </w:pPr>
      <w:r w:rsidRPr="008B7ABE">
        <w:rPr>
          <w:rFonts w:ascii="Cambria" w:hAnsi="Cambria"/>
          <w:b/>
          <w:bCs/>
          <w:i/>
          <w:iCs/>
          <w:noProof/>
          <w:lang w:val="sr-Latn-BA"/>
        </w:rPr>
        <w:t>Bilans uspjeha</w:t>
      </w:r>
    </w:p>
    <w:p w14:paraId="7B914289" w14:textId="77777777" w:rsidR="00CF1155" w:rsidRPr="00A13C71" w:rsidRDefault="00CF1155" w:rsidP="0033759C">
      <w:pPr>
        <w:jc w:val="both"/>
        <w:rPr>
          <w:rFonts w:ascii="Cambria" w:hAnsi="Cambria"/>
          <w:b/>
          <w:bCs/>
          <w:i/>
          <w:iCs/>
          <w:noProof/>
          <w:sz w:val="22"/>
          <w:szCs w:val="22"/>
          <w:lang w:val="sr-Latn-BA"/>
        </w:rPr>
      </w:pPr>
    </w:p>
    <w:p w14:paraId="3DDC9149" w14:textId="4F9F40D9" w:rsidR="002F2FD3" w:rsidRDefault="002F2FD3" w:rsidP="002F2FD3">
      <w:pPr>
        <w:jc w:val="both"/>
        <w:rPr>
          <w:rFonts w:ascii="Cambria" w:hAnsi="Cambria"/>
          <w:b/>
          <w:bCs/>
          <w:noProof/>
          <w:sz w:val="22"/>
          <w:szCs w:val="22"/>
          <w:lang w:val="sr-Latn-BA"/>
        </w:rPr>
      </w:pPr>
      <w:r>
        <w:rPr>
          <w:rFonts w:ascii="Cambria" w:hAnsi="Cambria"/>
          <w:b/>
          <w:bCs/>
          <w:noProof/>
          <w:sz w:val="22"/>
          <w:szCs w:val="22"/>
          <w:lang w:val="sr-Latn-BA"/>
        </w:rPr>
        <w:t>Prihodi – Napomena 5BU</w:t>
      </w:r>
    </w:p>
    <w:p w14:paraId="2B87A26B" w14:textId="77777777" w:rsidR="006A5E75" w:rsidRPr="003A5E87" w:rsidRDefault="006A5E75" w:rsidP="002F2FD3">
      <w:pPr>
        <w:jc w:val="both"/>
        <w:rPr>
          <w:rFonts w:ascii="Cambria" w:hAnsi="Cambria"/>
          <w:b/>
          <w:bCs/>
          <w:noProof/>
          <w:sz w:val="22"/>
          <w:szCs w:val="22"/>
          <w:lang w:val="sr-Latn-BA"/>
        </w:rPr>
      </w:pPr>
    </w:p>
    <w:p w14:paraId="5D435684" w14:textId="75EB7863" w:rsidR="00CF1155" w:rsidRPr="00A13C71" w:rsidRDefault="00CF1155" w:rsidP="006A5E75">
      <w:pPr>
        <w:jc w:val="both"/>
        <w:rPr>
          <w:rFonts w:ascii="Cambria" w:hAnsi="Cambria"/>
          <w:noProof/>
          <w:sz w:val="22"/>
          <w:szCs w:val="22"/>
          <w:lang w:val="sr-Latn-BA"/>
        </w:rPr>
      </w:pPr>
      <w:r w:rsidRPr="00A13C71">
        <w:rPr>
          <w:rFonts w:ascii="Cambria" w:hAnsi="Cambria"/>
          <w:noProof/>
          <w:sz w:val="22"/>
          <w:szCs w:val="22"/>
          <w:lang w:val="sr-Latn-BA"/>
        </w:rPr>
        <w:t>Poslovne prihode Fonda čine:</w:t>
      </w:r>
    </w:p>
    <w:p w14:paraId="2F47C1C7" w14:textId="580DE2FF" w:rsidR="002F2FD3" w:rsidRDefault="00CF1155" w:rsidP="002F2FD3">
      <w:pPr>
        <w:ind w:firstLine="720"/>
        <w:jc w:val="both"/>
        <w:rPr>
          <w:rFonts w:ascii="Cambria" w:hAnsi="Cambria"/>
          <w:noProof/>
          <w:sz w:val="22"/>
          <w:szCs w:val="22"/>
          <w:lang w:val="sr-Latn-BA"/>
        </w:rPr>
      </w:pPr>
      <w:r w:rsidRPr="00A13C71">
        <w:rPr>
          <w:rFonts w:ascii="Cambria" w:hAnsi="Cambria"/>
          <w:noProof/>
          <w:sz w:val="22"/>
          <w:szCs w:val="22"/>
          <w:lang w:val="sr-Latn-BA"/>
        </w:rPr>
        <w:t xml:space="preserve">- prihodi od dividende TLKM-R-A u iznosu od </w:t>
      </w:r>
      <w:r w:rsidR="00FB2CF9">
        <w:rPr>
          <w:rFonts w:ascii="Cambria" w:hAnsi="Cambria"/>
          <w:noProof/>
          <w:sz w:val="22"/>
          <w:szCs w:val="22"/>
          <w:lang w:val="sr-Latn-BA"/>
        </w:rPr>
        <w:t>123.720,24</w:t>
      </w:r>
      <w:r w:rsidRPr="00A13C71">
        <w:rPr>
          <w:rFonts w:ascii="Cambria" w:hAnsi="Cambria"/>
          <w:noProof/>
          <w:sz w:val="22"/>
          <w:szCs w:val="22"/>
          <w:lang w:val="sr-Latn-BA"/>
        </w:rPr>
        <w:t xml:space="preserve"> KM</w:t>
      </w:r>
      <w:r w:rsidR="00120430">
        <w:rPr>
          <w:rFonts w:ascii="Cambria" w:hAnsi="Cambria"/>
          <w:noProof/>
          <w:sz w:val="22"/>
          <w:szCs w:val="22"/>
          <w:lang w:val="sr-Latn-BA"/>
        </w:rPr>
        <w:t>,</w:t>
      </w:r>
    </w:p>
    <w:p w14:paraId="14925C0D" w14:textId="5954278B" w:rsidR="00120430" w:rsidRDefault="00120430" w:rsidP="002F2FD3">
      <w:pPr>
        <w:ind w:firstLine="720"/>
        <w:jc w:val="both"/>
        <w:rPr>
          <w:rFonts w:ascii="Cambria" w:hAnsi="Cambria"/>
          <w:noProof/>
          <w:sz w:val="22"/>
          <w:szCs w:val="22"/>
          <w:lang w:val="sr-Latn-BA"/>
        </w:rPr>
      </w:pPr>
      <w:r>
        <w:rPr>
          <w:rFonts w:ascii="Cambria" w:hAnsi="Cambria"/>
          <w:noProof/>
          <w:sz w:val="22"/>
          <w:szCs w:val="22"/>
          <w:lang w:val="sr-Latn-BA"/>
        </w:rPr>
        <w:t>- Realizovani dobici po osnovu prodaje finansijskih sredstava po fer vrijednosti kroz ostali ukupan    rezultat  432,25 KM.</w:t>
      </w:r>
    </w:p>
    <w:p w14:paraId="4C01B7B1" w14:textId="77777777" w:rsidR="006A5E75" w:rsidRDefault="006A5E75" w:rsidP="006A5E75">
      <w:pPr>
        <w:jc w:val="both"/>
        <w:rPr>
          <w:rFonts w:ascii="Cambria" w:hAnsi="Cambria"/>
          <w:noProof/>
          <w:sz w:val="22"/>
          <w:szCs w:val="22"/>
          <w:lang w:val="sr-Latn-BA"/>
        </w:rPr>
      </w:pPr>
    </w:p>
    <w:p w14:paraId="627447E1" w14:textId="344EBEFD" w:rsidR="002F2FD3" w:rsidRDefault="002F2FD3" w:rsidP="006A5E75">
      <w:pPr>
        <w:jc w:val="both"/>
        <w:rPr>
          <w:rFonts w:ascii="Cambria" w:hAnsi="Cambria"/>
          <w:noProof/>
          <w:sz w:val="22"/>
          <w:szCs w:val="22"/>
          <w:lang w:val="sr-Latn-BA"/>
        </w:rPr>
      </w:pPr>
      <w:r>
        <w:rPr>
          <w:rFonts w:ascii="Cambria" w:hAnsi="Cambria"/>
          <w:b/>
          <w:bCs/>
          <w:noProof/>
          <w:sz w:val="22"/>
          <w:szCs w:val="22"/>
          <w:lang w:val="sr-Latn-BA"/>
        </w:rPr>
        <w:t>Rashodi – Napomena 6BU</w:t>
      </w:r>
      <w:r w:rsidRPr="006424B3">
        <w:rPr>
          <w:rFonts w:ascii="Cambria" w:hAnsi="Cambria"/>
          <w:noProof/>
          <w:sz w:val="22"/>
          <w:szCs w:val="22"/>
          <w:lang w:val="sr-Latn-BA"/>
        </w:rPr>
        <w:t xml:space="preserve"> </w:t>
      </w:r>
    </w:p>
    <w:p w14:paraId="38D7F358" w14:textId="77777777" w:rsidR="006A5E75" w:rsidRDefault="006A5E75" w:rsidP="002F2FD3">
      <w:pPr>
        <w:ind w:firstLine="720"/>
        <w:jc w:val="both"/>
        <w:rPr>
          <w:rFonts w:ascii="Cambria" w:hAnsi="Cambria"/>
          <w:noProof/>
          <w:sz w:val="22"/>
          <w:szCs w:val="22"/>
          <w:lang w:val="sr-Latn-BA"/>
        </w:rPr>
      </w:pPr>
    </w:p>
    <w:p w14:paraId="33D665AA" w14:textId="4AAA21D4" w:rsidR="006A5E75" w:rsidRDefault="00CF1155" w:rsidP="006A5E75">
      <w:pPr>
        <w:jc w:val="both"/>
        <w:rPr>
          <w:rFonts w:ascii="Cambria" w:hAnsi="Cambria"/>
          <w:noProof/>
          <w:sz w:val="22"/>
          <w:szCs w:val="22"/>
          <w:lang w:val="sr-Latn-BA"/>
        </w:rPr>
      </w:pPr>
      <w:r w:rsidRPr="00A13C71">
        <w:rPr>
          <w:rFonts w:ascii="Cambria" w:hAnsi="Cambria"/>
          <w:noProof/>
          <w:sz w:val="22"/>
          <w:szCs w:val="22"/>
          <w:lang w:val="sr-Latn-BA"/>
        </w:rPr>
        <w:t xml:space="preserve">Poslovni rashodi predstavljaju naknadu društvu za upravljanje u iznosu </w:t>
      </w:r>
      <w:r w:rsidR="00AF5BAC">
        <w:rPr>
          <w:rFonts w:ascii="Cambria" w:hAnsi="Cambria"/>
          <w:noProof/>
          <w:sz w:val="22"/>
          <w:szCs w:val="22"/>
          <w:lang w:val="sr-Latn-BA"/>
        </w:rPr>
        <w:t>1</w:t>
      </w:r>
      <w:r w:rsidR="00E66EA7">
        <w:rPr>
          <w:rFonts w:ascii="Cambria" w:hAnsi="Cambria"/>
          <w:noProof/>
          <w:sz w:val="22"/>
          <w:szCs w:val="22"/>
          <w:lang w:val="sr-Latn-BA"/>
        </w:rPr>
        <w:t>97</w:t>
      </w:r>
      <w:r w:rsidR="00AF5BAC">
        <w:rPr>
          <w:rFonts w:ascii="Cambria" w:hAnsi="Cambria"/>
          <w:noProof/>
          <w:sz w:val="22"/>
          <w:szCs w:val="22"/>
          <w:lang w:val="sr-Latn-BA"/>
        </w:rPr>
        <w:t>.</w:t>
      </w:r>
      <w:r w:rsidR="00E66EA7">
        <w:rPr>
          <w:rFonts w:ascii="Cambria" w:hAnsi="Cambria"/>
          <w:noProof/>
          <w:sz w:val="22"/>
          <w:szCs w:val="22"/>
          <w:lang w:val="sr-Latn-BA"/>
        </w:rPr>
        <w:t>683</w:t>
      </w:r>
      <w:r w:rsidR="00AF5BAC">
        <w:rPr>
          <w:rFonts w:ascii="Cambria" w:hAnsi="Cambria"/>
          <w:noProof/>
          <w:sz w:val="22"/>
          <w:szCs w:val="22"/>
          <w:lang w:val="sr-Latn-BA"/>
        </w:rPr>
        <w:t>,</w:t>
      </w:r>
      <w:r w:rsidR="00E66EA7">
        <w:rPr>
          <w:rFonts w:ascii="Cambria" w:hAnsi="Cambria"/>
          <w:noProof/>
          <w:sz w:val="22"/>
          <w:szCs w:val="22"/>
          <w:lang w:val="sr-Latn-BA"/>
        </w:rPr>
        <w:t>32</w:t>
      </w:r>
      <w:r w:rsidRPr="00A13C71">
        <w:rPr>
          <w:rFonts w:ascii="Cambria" w:hAnsi="Cambria"/>
          <w:noProof/>
          <w:sz w:val="22"/>
          <w:szCs w:val="22"/>
          <w:lang w:val="sr-Latn-BA"/>
        </w:rPr>
        <w:t xml:space="preserve"> KM.</w:t>
      </w:r>
    </w:p>
    <w:p w14:paraId="52F8694D" w14:textId="4C8C168F" w:rsidR="00CF1155" w:rsidRPr="00A13C71" w:rsidRDefault="00CF1155" w:rsidP="006A5E75">
      <w:pPr>
        <w:jc w:val="both"/>
        <w:rPr>
          <w:rFonts w:ascii="Cambria" w:hAnsi="Cambria"/>
          <w:noProof/>
          <w:sz w:val="22"/>
          <w:szCs w:val="22"/>
          <w:lang w:val="sr-Latn-BA"/>
        </w:rPr>
      </w:pPr>
      <w:r w:rsidRPr="00A13C71">
        <w:rPr>
          <w:rFonts w:ascii="Cambria" w:hAnsi="Cambria"/>
          <w:noProof/>
          <w:sz w:val="22"/>
          <w:szCs w:val="22"/>
          <w:lang w:val="sr-Latn-BA"/>
        </w:rPr>
        <w:t xml:space="preserve">Prodajom hartija iz portfelja fonda (HETR-R-A) ostvaren je realizovani </w:t>
      </w:r>
      <w:r w:rsidR="004156AB">
        <w:rPr>
          <w:rFonts w:ascii="Cambria" w:hAnsi="Cambria"/>
          <w:noProof/>
          <w:sz w:val="22"/>
          <w:szCs w:val="22"/>
          <w:lang w:val="sr-Latn-BA"/>
        </w:rPr>
        <w:t>gubitak</w:t>
      </w:r>
      <w:r w:rsidRPr="00A13C71">
        <w:rPr>
          <w:rFonts w:ascii="Cambria" w:hAnsi="Cambria"/>
          <w:noProof/>
          <w:sz w:val="22"/>
          <w:szCs w:val="22"/>
          <w:lang w:val="sr-Latn-BA"/>
        </w:rPr>
        <w:t xml:space="preserve"> </w:t>
      </w:r>
      <w:r w:rsidR="00120430">
        <w:rPr>
          <w:rFonts w:ascii="Cambria" w:hAnsi="Cambria"/>
          <w:noProof/>
          <w:sz w:val="22"/>
          <w:szCs w:val="22"/>
          <w:lang w:val="sr-Latn-BA"/>
        </w:rPr>
        <w:t>33,43</w:t>
      </w:r>
      <w:r w:rsidRPr="00A13C71">
        <w:rPr>
          <w:rFonts w:ascii="Cambria" w:hAnsi="Cambria"/>
          <w:noProof/>
          <w:sz w:val="22"/>
          <w:szCs w:val="22"/>
          <w:lang w:val="sr-Latn-BA"/>
        </w:rPr>
        <w:t xml:space="preserve"> KM. Neto realizovani dobitak/gubitak predstavlja razliku između ostvarene prodajne i nabavne, odnosno knjigovodstvene vrijednosti hartije.</w:t>
      </w:r>
    </w:p>
    <w:p w14:paraId="3FB3A06A" w14:textId="634CBA36" w:rsidR="00FD0E86" w:rsidRDefault="00FD0E86" w:rsidP="00FD0E86">
      <w:pPr>
        <w:jc w:val="both"/>
        <w:rPr>
          <w:rFonts w:ascii="Cambria" w:hAnsi="Cambria"/>
          <w:noProof/>
          <w:sz w:val="22"/>
          <w:szCs w:val="22"/>
          <w:lang w:val="sr-Latn-BA"/>
        </w:rPr>
      </w:pPr>
    </w:p>
    <w:p w14:paraId="64A5C16A" w14:textId="21778B11" w:rsidR="00FA3AE1" w:rsidRDefault="00FA3AE1" w:rsidP="00FA3AE1">
      <w:pPr>
        <w:jc w:val="both"/>
        <w:rPr>
          <w:rFonts w:ascii="Cambria" w:hAnsi="Cambria"/>
          <w:b/>
          <w:bCs/>
          <w:iCs/>
          <w:noProof/>
          <w:sz w:val="22"/>
          <w:szCs w:val="22"/>
          <w:lang w:val="sr-Latn-BA"/>
        </w:rPr>
      </w:pPr>
      <w:r>
        <w:rPr>
          <w:rFonts w:ascii="Cambria" w:hAnsi="Cambria"/>
          <w:b/>
          <w:bCs/>
          <w:iCs/>
          <w:noProof/>
          <w:sz w:val="22"/>
          <w:szCs w:val="22"/>
          <w:lang w:val="sr-Latn-BA"/>
        </w:rPr>
        <w:t>Neto imovina – Napomena 7</w:t>
      </w:r>
    </w:p>
    <w:p w14:paraId="021EBDC2" w14:textId="77777777" w:rsidR="008B7ABE" w:rsidRPr="003A5E87" w:rsidRDefault="008B7ABE" w:rsidP="00FA3AE1">
      <w:pPr>
        <w:jc w:val="both"/>
        <w:rPr>
          <w:rFonts w:ascii="Cambria" w:hAnsi="Cambria"/>
          <w:b/>
          <w:bCs/>
          <w:iCs/>
          <w:noProof/>
          <w:sz w:val="22"/>
          <w:szCs w:val="22"/>
          <w:lang w:val="sr-Latn-BA"/>
        </w:rPr>
      </w:pPr>
    </w:p>
    <w:p w14:paraId="06159CA4" w14:textId="6557C837" w:rsidR="00012061" w:rsidRPr="00A13C71" w:rsidRDefault="00012061" w:rsidP="00012061">
      <w:pPr>
        <w:jc w:val="both"/>
        <w:rPr>
          <w:rFonts w:ascii="Cambria" w:hAnsi="Cambria"/>
          <w:b/>
          <w:bCs/>
          <w:i/>
          <w:iCs/>
          <w:noProof/>
          <w:sz w:val="22"/>
          <w:szCs w:val="22"/>
          <w:lang w:val="sr-Latn-BA"/>
        </w:rPr>
      </w:pPr>
      <w:r w:rsidRPr="00A13C71">
        <w:rPr>
          <w:rFonts w:ascii="Cambria" w:hAnsi="Cambria"/>
          <w:b/>
          <w:bCs/>
          <w:i/>
          <w:iCs/>
          <w:noProof/>
          <w:sz w:val="22"/>
          <w:szCs w:val="22"/>
          <w:lang w:val="sr-Latn-BA"/>
        </w:rPr>
        <w:t>Izvještaj o promjenama neto imovine</w:t>
      </w:r>
    </w:p>
    <w:p w14:paraId="1CD1AE15" w14:textId="299785E8" w:rsidR="00012061" w:rsidRPr="00A13C71" w:rsidRDefault="004E7A32" w:rsidP="00012061">
      <w:pPr>
        <w:jc w:val="both"/>
        <w:rPr>
          <w:rStyle w:val="SubtleReference"/>
          <w:rFonts w:ascii="Cambria" w:hAnsi="Cambria" w:cs="Tahoma"/>
          <w:b/>
          <w:bCs/>
          <w:noProof/>
          <w:color w:val="auto"/>
          <w:sz w:val="22"/>
          <w:szCs w:val="22"/>
          <w:lang w:val="sr-Latn-BA"/>
        </w:rPr>
      </w:pPr>
      <w:r w:rsidRPr="00A13C71">
        <w:rPr>
          <w:rStyle w:val="SubtleReference"/>
          <w:rFonts w:ascii="Cambria" w:hAnsi="Cambria" w:cs="Tahoma"/>
          <w:b/>
          <w:bCs/>
          <w:noProof/>
          <w:color w:val="auto"/>
          <w:sz w:val="22"/>
          <w:szCs w:val="22"/>
          <w:lang w:val="sr-Latn-BA"/>
        </w:rPr>
        <w:t xml:space="preserve"> </w:t>
      </w:r>
      <w:r w:rsidR="00012061" w:rsidRPr="00A13C71">
        <w:rPr>
          <w:rStyle w:val="SubtleReference"/>
          <w:rFonts w:ascii="Cambria" w:hAnsi="Cambria" w:cs="Tahoma"/>
          <w:b/>
          <w:bCs/>
          <w:noProof/>
          <w:color w:val="auto"/>
          <w:sz w:val="22"/>
          <w:szCs w:val="22"/>
          <w:lang w:val="sr-Latn-BA"/>
        </w:rPr>
        <w:t xml:space="preserve"> </w:t>
      </w:r>
    </w:p>
    <w:p w14:paraId="78AD9214" w14:textId="6F27E681" w:rsidR="00411D6B" w:rsidRPr="000E7C0F" w:rsidRDefault="00E5418A" w:rsidP="00411D6B">
      <w:pPr>
        <w:pStyle w:val="Default"/>
        <w:jc w:val="both"/>
        <w:rPr>
          <w:rFonts w:ascii="Cambria" w:hAnsi="Cambria"/>
          <w:noProof/>
          <w:sz w:val="22"/>
          <w:szCs w:val="22"/>
          <w:lang w:val="sr-Latn-BA"/>
        </w:rPr>
      </w:pPr>
      <w:bookmarkStart w:id="22" w:name="_Hlk108087448"/>
      <w:bookmarkStart w:id="23" w:name="_Hlk102139912"/>
      <w:r w:rsidRPr="000E7C0F">
        <w:rPr>
          <w:rStyle w:val="FontStyle11"/>
          <w:rFonts w:ascii="Cambria" w:hAnsi="Cambria" w:cs="Tahoma"/>
          <w:b w:val="0"/>
          <w:bCs w:val="0"/>
          <w:noProof/>
          <w:sz w:val="22"/>
          <w:szCs w:val="22"/>
          <w:lang w:val="sr-Latn-BA"/>
        </w:rPr>
        <w:t xml:space="preserve">U posmatranom periodu imovina OAIF Adriatic Balanced </w:t>
      </w:r>
      <w:r w:rsidR="003F0242">
        <w:rPr>
          <w:rStyle w:val="FontStyle11"/>
          <w:rFonts w:ascii="Cambria" w:hAnsi="Cambria" w:cs="Tahoma"/>
          <w:b w:val="0"/>
          <w:bCs w:val="0"/>
          <w:noProof/>
          <w:sz w:val="22"/>
          <w:szCs w:val="22"/>
          <w:lang w:val="sr-Latn-BA"/>
        </w:rPr>
        <w:t>povećana</w:t>
      </w:r>
      <w:r w:rsidRPr="000E7C0F">
        <w:rPr>
          <w:rStyle w:val="FontStyle11"/>
          <w:rFonts w:ascii="Cambria" w:hAnsi="Cambria" w:cs="Tahoma"/>
          <w:b w:val="0"/>
          <w:bCs w:val="0"/>
          <w:noProof/>
          <w:sz w:val="22"/>
          <w:szCs w:val="22"/>
          <w:lang w:val="sr-Latn-BA"/>
        </w:rPr>
        <w:t xml:space="preserve"> je </w:t>
      </w:r>
      <w:r w:rsidR="00A13C71" w:rsidRPr="000E7C0F">
        <w:rPr>
          <w:rStyle w:val="FontStyle11"/>
          <w:rFonts w:ascii="Cambria" w:hAnsi="Cambria" w:cs="Tahoma"/>
          <w:b w:val="0"/>
          <w:bCs w:val="0"/>
          <w:noProof/>
          <w:sz w:val="22"/>
          <w:szCs w:val="22"/>
          <w:lang w:val="sr-Latn-BA"/>
        </w:rPr>
        <w:t xml:space="preserve">vrijednost </w:t>
      </w:r>
      <w:r w:rsidRPr="000E7C0F">
        <w:rPr>
          <w:rStyle w:val="FontStyle11"/>
          <w:rFonts w:ascii="Cambria" w:hAnsi="Cambria" w:cs="Tahoma"/>
          <w:b w:val="0"/>
          <w:bCs w:val="0"/>
          <w:noProof/>
          <w:sz w:val="22"/>
          <w:szCs w:val="22"/>
          <w:lang w:val="sr-Latn-BA"/>
        </w:rPr>
        <w:t>imovin</w:t>
      </w:r>
      <w:r w:rsidR="00A13C71" w:rsidRPr="000E7C0F">
        <w:rPr>
          <w:rStyle w:val="FontStyle11"/>
          <w:rFonts w:ascii="Cambria" w:hAnsi="Cambria" w:cs="Tahoma"/>
          <w:b w:val="0"/>
          <w:bCs w:val="0"/>
          <w:noProof/>
          <w:sz w:val="22"/>
          <w:szCs w:val="22"/>
          <w:lang w:val="sr-Latn-BA"/>
        </w:rPr>
        <w:t>e</w:t>
      </w:r>
      <w:r w:rsidR="00411D6B" w:rsidRPr="000E7C0F">
        <w:rPr>
          <w:rFonts w:ascii="Cambria" w:hAnsi="Cambria"/>
          <w:noProof/>
          <w:sz w:val="22"/>
          <w:szCs w:val="22"/>
          <w:lang w:val="sr-Latn-BA"/>
        </w:rPr>
        <w:t xml:space="preserve"> za </w:t>
      </w:r>
      <w:r w:rsidR="003F0242">
        <w:rPr>
          <w:rFonts w:ascii="Cambria" w:hAnsi="Cambria"/>
          <w:noProof/>
          <w:sz w:val="22"/>
          <w:szCs w:val="22"/>
          <w:lang w:val="sr-Latn-BA"/>
        </w:rPr>
        <w:t>40.575,11</w:t>
      </w:r>
      <w:r w:rsidR="00716E5B" w:rsidRPr="000E7C0F">
        <w:rPr>
          <w:rFonts w:ascii="Cambria" w:hAnsi="Cambria"/>
          <w:noProof/>
          <w:sz w:val="22"/>
          <w:szCs w:val="22"/>
          <w:lang w:val="sr-Latn-BA"/>
        </w:rPr>
        <w:t xml:space="preserve"> </w:t>
      </w:r>
      <w:r w:rsidRPr="000E7C0F">
        <w:rPr>
          <w:rFonts w:ascii="Cambria" w:hAnsi="Cambria"/>
          <w:noProof/>
          <w:sz w:val="22"/>
          <w:szCs w:val="22"/>
          <w:lang w:val="sr-Latn-BA"/>
        </w:rPr>
        <w:t xml:space="preserve"> </w:t>
      </w:r>
      <w:r w:rsidR="00411D6B" w:rsidRPr="000E7C0F">
        <w:rPr>
          <w:rFonts w:ascii="Cambria" w:hAnsi="Cambria"/>
          <w:noProof/>
          <w:sz w:val="22"/>
          <w:szCs w:val="22"/>
          <w:lang w:val="sr-Latn-BA"/>
        </w:rPr>
        <w:t xml:space="preserve">KM. </w:t>
      </w:r>
    </w:p>
    <w:p w14:paraId="366A8992" w14:textId="26FB3225" w:rsidR="00E5418A" w:rsidRPr="000E7C0F" w:rsidRDefault="00411D6B" w:rsidP="00411D6B">
      <w:pPr>
        <w:jc w:val="both"/>
        <w:rPr>
          <w:rFonts w:ascii="Cambria" w:hAnsi="Cambria"/>
          <w:noProof/>
          <w:sz w:val="22"/>
          <w:szCs w:val="22"/>
          <w:lang w:val="sr-Latn-BA"/>
        </w:rPr>
      </w:pPr>
      <w:r w:rsidRPr="000E7C0F">
        <w:rPr>
          <w:rFonts w:ascii="Cambria" w:hAnsi="Cambria"/>
          <w:noProof/>
          <w:sz w:val="22"/>
          <w:szCs w:val="22"/>
          <w:lang w:val="sr-Latn-BA"/>
        </w:rPr>
        <w:t xml:space="preserve">Promjene </w:t>
      </w:r>
      <w:r w:rsidR="00A13C71" w:rsidRPr="000E7C0F">
        <w:rPr>
          <w:rFonts w:ascii="Cambria" w:hAnsi="Cambria"/>
          <w:noProof/>
          <w:sz w:val="22"/>
          <w:szCs w:val="22"/>
          <w:lang w:val="sr-Latn-BA"/>
        </w:rPr>
        <w:t>u</w:t>
      </w:r>
      <w:r w:rsidRPr="000E7C0F">
        <w:rPr>
          <w:rFonts w:ascii="Cambria" w:hAnsi="Cambria"/>
          <w:noProof/>
          <w:sz w:val="22"/>
          <w:szCs w:val="22"/>
          <w:lang w:val="sr-Latn-BA"/>
        </w:rPr>
        <w:t xml:space="preserve"> neto imovini su </w:t>
      </w:r>
      <w:r w:rsidR="00A13C71" w:rsidRPr="000E7C0F">
        <w:rPr>
          <w:rFonts w:ascii="Cambria" w:hAnsi="Cambria"/>
          <w:noProof/>
          <w:sz w:val="22"/>
          <w:szCs w:val="22"/>
          <w:lang w:val="sr-Latn-BA"/>
        </w:rPr>
        <w:t xml:space="preserve">rezultat </w:t>
      </w:r>
      <w:r w:rsidR="003F0242">
        <w:rPr>
          <w:rFonts w:ascii="Cambria" w:hAnsi="Cambria"/>
          <w:noProof/>
          <w:sz w:val="22"/>
          <w:szCs w:val="22"/>
          <w:lang w:val="sr-Latn-BA"/>
        </w:rPr>
        <w:t>povećanja</w:t>
      </w:r>
      <w:r w:rsidRPr="000E7C0F">
        <w:rPr>
          <w:rFonts w:ascii="Cambria" w:hAnsi="Cambria"/>
          <w:noProof/>
          <w:sz w:val="22"/>
          <w:szCs w:val="22"/>
          <w:lang w:val="sr-Latn-BA"/>
        </w:rPr>
        <w:t xml:space="preserve"> po osnovu </w:t>
      </w:r>
      <w:r w:rsidR="003F0242">
        <w:rPr>
          <w:rFonts w:ascii="Cambria" w:hAnsi="Cambria"/>
          <w:noProof/>
          <w:sz w:val="22"/>
          <w:szCs w:val="22"/>
          <w:lang w:val="sr-Latn-BA"/>
        </w:rPr>
        <w:t>povećanja</w:t>
      </w:r>
      <w:r w:rsidRPr="000E7C0F">
        <w:rPr>
          <w:rFonts w:ascii="Cambria" w:hAnsi="Cambria"/>
          <w:noProof/>
          <w:sz w:val="22"/>
          <w:szCs w:val="22"/>
          <w:lang w:val="sr-Latn-BA"/>
        </w:rPr>
        <w:t xml:space="preserve"> fer vrijednosti od </w:t>
      </w:r>
      <w:r w:rsidR="00FE4ACB">
        <w:rPr>
          <w:rFonts w:ascii="Cambria" w:hAnsi="Cambria"/>
          <w:noProof/>
          <w:sz w:val="22"/>
          <w:szCs w:val="22"/>
          <w:lang w:val="sr-Latn-BA"/>
        </w:rPr>
        <w:t>141.567,30</w:t>
      </w:r>
      <w:r w:rsidR="00E5418A" w:rsidRPr="000E7C0F">
        <w:rPr>
          <w:rFonts w:ascii="Cambria" w:hAnsi="Cambria"/>
          <w:noProof/>
          <w:sz w:val="22"/>
          <w:szCs w:val="22"/>
          <w:lang w:val="sr-Latn-BA"/>
        </w:rPr>
        <w:t xml:space="preserve"> </w:t>
      </w:r>
      <w:r w:rsidRPr="000E7C0F">
        <w:rPr>
          <w:rFonts w:ascii="Cambria" w:hAnsi="Cambria"/>
          <w:noProof/>
          <w:sz w:val="22"/>
          <w:szCs w:val="22"/>
          <w:lang w:val="sr-Latn-BA"/>
        </w:rPr>
        <w:t>K</w:t>
      </w:r>
      <w:r w:rsidR="0014002D" w:rsidRPr="000E7C0F">
        <w:rPr>
          <w:rFonts w:ascii="Cambria" w:hAnsi="Cambria"/>
          <w:noProof/>
          <w:sz w:val="22"/>
          <w:szCs w:val="22"/>
          <w:lang w:val="sr-Latn-BA"/>
        </w:rPr>
        <w:t>M</w:t>
      </w:r>
      <w:r w:rsidR="0090230B" w:rsidRPr="000E7C0F">
        <w:rPr>
          <w:rFonts w:ascii="Cambria" w:hAnsi="Cambria"/>
          <w:noProof/>
          <w:sz w:val="22"/>
          <w:szCs w:val="22"/>
          <w:lang w:val="sr-Latn-BA"/>
        </w:rPr>
        <w:t xml:space="preserve"> </w:t>
      </w:r>
    </w:p>
    <w:p w14:paraId="45B06B87" w14:textId="21A366EF" w:rsidR="00151C35" w:rsidRPr="00A13C71" w:rsidRDefault="003F0242" w:rsidP="00411D6B">
      <w:pPr>
        <w:jc w:val="both"/>
        <w:rPr>
          <w:rFonts w:ascii="Cambria" w:hAnsi="Cambria"/>
          <w:noProof/>
          <w:sz w:val="22"/>
          <w:szCs w:val="22"/>
          <w:lang w:val="sr-Latn-BA"/>
        </w:rPr>
      </w:pPr>
      <w:r>
        <w:rPr>
          <w:rFonts w:ascii="Cambria" w:hAnsi="Cambria"/>
          <w:noProof/>
          <w:sz w:val="22"/>
          <w:szCs w:val="22"/>
          <w:lang w:val="sr-Latn-BA"/>
        </w:rPr>
        <w:t>Povećanje</w:t>
      </w:r>
      <w:r w:rsidR="00411D6B" w:rsidRPr="000E7C0F">
        <w:rPr>
          <w:rFonts w:ascii="Cambria" w:hAnsi="Cambria"/>
          <w:noProof/>
          <w:sz w:val="22"/>
          <w:szCs w:val="22"/>
          <w:lang w:val="sr-Latn-BA"/>
        </w:rPr>
        <w:t xml:space="preserve"> je korigovano za ostvareni </w:t>
      </w:r>
      <w:r w:rsidR="000E7C0F" w:rsidRPr="000E7C0F">
        <w:rPr>
          <w:rFonts w:ascii="Cambria" w:hAnsi="Cambria"/>
          <w:noProof/>
          <w:sz w:val="22"/>
          <w:szCs w:val="22"/>
          <w:lang w:val="sr-Latn-BA"/>
        </w:rPr>
        <w:t>negativni</w:t>
      </w:r>
      <w:r w:rsidR="00411D6B" w:rsidRPr="000E7C0F">
        <w:rPr>
          <w:rFonts w:ascii="Cambria" w:hAnsi="Cambria"/>
          <w:noProof/>
          <w:sz w:val="22"/>
          <w:szCs w:val="22"/>
          <w:lang w:val="sr-Latn-BA"/>
        </w:rPr>
        <w:t xml:space="preserve"> finansijski rezultat od </w:t>
      </w:r>
      <w:r w:rsidR="00FE4ACB">
        <w:rPr>
          <w:rFonts w:ascii="Cambria" w:hAnsi="Cambria"/>
          <w:noProof/>
          <w:sz w:val="22"/>
          <w:szCs w:val="22"/>
          <w:lang w:val="sr-Latn-BA"/>
        </w:rPr>
        <w:t>73.564,26</w:t>
      </w:r>
      <w:r w:rsidR="00E5418A" w:rsidRPr="000E7C0F">
        <w:rPr>
          <w:rFonts w:ascii="Cambria" w:hAnsi="Cambria"/>
          <w:noProof/>
          <w:sz w:val="22"/>
          <w:szCs w:val="22"/>
          <w:lang w:val="sr-Latn-BA"/>
        </w:rPr>
        <w:t xml:space="preserve"> KM</w:t>
      </w:r>
      <w:r w:rsidR="00411D6B" w:rsidRPr="000E7C0F">
        <w:rPr>
          <w:rFonts w:ascii="Cambria" w:hAnsi="Cambria"/>
          <w:noProof/>
          <w:sz w:val="22"/>
          <w:szCs w:val="22"/>
          <w:lang w:val="sr-Latn-BA"/>
        </w:rPr>
        <w:t xml:space="preserve"> i</w:t>
      </w:r>
      <w:r w:rsidR="00E5418A" w:rsidRPr="000E7C0F">
        <w:rPr>
          <w:rStyle w:val="FontStyle11"/>
          <w:rFonts w:ascii="Cambria" w:hAnsi="Cambria" w:cs="Tahoma"/>
          <w:b w:val="0"/>
          <w:noProof/>
          <w:sz w:val="22"/>
          <w:szCs w:val="22"/>
          <w:lang w:val="sr-Latn-BA"/>
        </w:rPr>
        <w:t xml:space="preserve"> smanjenje imovine OAIF Adriatic Balanced po osnovu povlačenja udjela fonda</w:t>
      </w:r>
      <w:r w:rsidR="00411D6B" w:rsidRPr="000E7C0F">
        <w:rPr>
          <w:rFonts w:ascii="Cambria" w:hAnsi="Cambria"/>
          <w:noProof/>
          <w:sz w:val="22"/>
          <w:szCs w:val="22"/>
          <w:lang w:val="sr-Latn-BA"/>
        </w:rPr>
        <w:t xml:space="preserve"> </w:t>
      </w:r>
      <w:r w:rsidR="00E5418A" w:rsidRPr="000E7C0F">
        <w:rPr>
          <w:rFonts w:ascii="Cambria" w:hAnsi="Cambria"/>
          <w:noProof/>
          <w:sz w:val="22"/>
          <w:szCs w:val="22"/>
          <w:lang w:val="sr-Latn-BA"/>
        </w:rPr>
        <w:t>(</w:t>
      </w:r>
      <w:r w:rsidR="00411D6B" w:rsidRPr="000E7C0F">
        <w:rPr>
          <w:rFonts w:ascii="Cambria" w:hAnsi="Cambria"/>
          <w:noProof/>
          <w:sz w:val="22"/>
          <w:szCs w:val="22"/>
          <w:lang w:val="sr-Latn-BA"/>
        </w:rPr>
        <w:t>otkup udjela</w:t>
      </w:r>
      <w:r w:rsidR="00E5418A" w:rsidRPr="000E7C0F">
        <w:rPr>
          <w:rFonts w:ascii="Cambria" w:hAnsi="Cambria"/>
          <w:noProof/>
          <w:sz w:val="22"/>
          <w:szCs w:val="22"/>
          <w:lang w:val="sr-Latn-BA"/>
        </w:rPr>
        <w:t>)</w:t>
      </w:r>
      <w:r w:rsidR="00411D6B" w:rsidRPr="000E7C0F">
        <w:rPr>
          <w:rFonts w:ascii="Cambria" w:hAnsi="Cambria"/>
          <w:noProof/>
          <w:sz w:val="22"/>
          <w:szCs w:val="22"/>
          <w:lang w:val="sr-Latn-BA"/>
        </w:rPr>
        <w:t xml:space="preserve"> od </w:t>
      </w:r>
      <w:r w:rsidR="000E7C0F" w:rsidRPr="000E7C0F">
        <w:rPr>
          <w:rFonts w:ascii="Cambria" w:hAnsi="Cambria"/>
          <w:noProof/>
          <w:sz w:val="22"/>
          <w:szCs w:val="22"/>
          <w:lang w:val="sr-Latn-BA"/>
        </w:rPr>
        <w:t>2</w:t>
      </w:r>
      <w:r w:rsidR="00FE4ACB">
        <w:rPr>
          <w:rFonts w:ascii="Cambria" w:hAnsi="Cambria"/>
          <w:noProof/>
          <w:sz w:val="22"/>
          <w:szCs w:val="22"/>
          <w:lang w:val="sr-Latn-BA"/>
        </w:rPr>
        <w:t>7</w:t>
      </w:r>
      <w:r w:rsidR="000E7C0F" w:rsidRPr="000E7C0F">
        <w:rPr>
          <w:rFonts w:ascii="Cambria" w:hAnsi="Cambria"/>
          <w:noProof/>
          <w:sz w:val="22"/>
          <w:szCs w:val="22"/>
          <w:lang w:val="sr-Latn-BA"/>
        </w:rPr>
        <w:t>.</w:t>
      </w:r>
      <w:r w:rsidR="00FE4ACB">
        <w:rPr>
          <w:rFonts w:ascii="Cambria" w:hAnsi="Cambria"/>
          <w:noProof/>
          <w:sz w:val="22"/>
          <w:szCs w:val="22"/>
          <w:lang w:val="sr-Latn-BA"/>
        </w:rPr>
        <w:t>427</w:t>
      </w:r>
      <w:r w:rsidR="000E7C0F" w:rsidRPr="000E7C0F">
        <w:rPr>
          <w:rFonts w:ascii="Cambria" w:hAnsi="Cambria"/>
          <w:noProof/>
          <w:sz w:val="22"/>
          <w:szCs w:val="22"/>
          <w:lang w:val="sr-Latn-BA"/>
        </w:rPr>
        <w:t>,9</w:t>
      </w:r>
      <w:r w:rsidR="00FE4ACB">
        <w:rPr>
          <w:rFonts w:ascii="Cambria" w:hAnsi="Cambria"/>
          <w:noProof/>
          <w:sz w:val="22"/>
          <w:szCs w:val="22"/>
          <w:lang w:val="sr-Latn-BA"/>
        </w:rPr>
        <w:t>3</w:t>
      </w:r>
      <w:r w:rsidR="00E5418A" w:rsidRPr="000E7C0F">
        <w:rPr>
          <w:rFonts w:ascii="Cambria" w:hAnsi="Cambria"/>
          <w:noProof/>
          <w:sz w:val="22"/>
          <w:szCs w:val="22"/>
          <w:lang w:val="sr-Latn-BA"/>
        </w:rPr>
        <w:t xml:space="preserve"> KM</w:t>
      </w:r>
      <w:r w:rsidR="00411D6B" w:rsidRPr="000E7C0F">
        <w:rPr>
          <w:rFonts w:ascii="Cambria" w:hAnsi="Cambria"/>
          <w:noProof/>
          <w:sz w:val="22"/>
          <w:szCs w:val="22"/>
          <w:lang w:val="sr-Latn-BA"/>
        </w:rPr>
        <w:t>.</w:t>
      </w:r>
    </w:p>
    <w:bookmarkEnd w:id="22"/>
    <w:bookmarkEnd w:id="23"/>
    <w:p w14:paraId="746FC04D" w14:textId="77777777" w:rsidR="0090230B" w:rsidRDefault="0090230B" w:rsidP="00B85B91">
      <w:pPr>
        <w:jc w:val="both"/>
        <w:rPr>
          <w:rFonts w:ascii="Cambria" w:hAnsi="Cambria"/>
          <w:b/>
          <w:bCs/>
          <w:i/>
          <w:iCs/>
          <w:noProof/>
          <w:sz w:val="22"/>
          <w:szCs w:val="22"/>
          <w:lang w:val="sr-Latn-BA"/>
        </w:rPr>
      </w:pPr>
    </w:p>
    <w:p w14:paraId="127C35D7" w14:textId="106100FE" w:rsidR="0033759C" w:rsidRPr="00A13C71" w:rsidRDefault="0033759C" w:rsidP="00B85B91">
      <w:pPr>
        <w:jc w:val="both"/>
        <w:rPr>
          <w:rFonts w:ascii="Cambria" w:hAnsi="Cambria"/>
          <w:b/>
          <w:bCs/>
          <w:i/>
          <w:iCs/>
          <w:noProof/>
          <w:sz w:val="22"/>
          <w:szCs w:val="22"/>
          <w:lang w:val="sr-Latn-BA"/>
        </w:rPr>
      </w:pPr>
      <w:r w:rsidRPr="00A13C71">
        <w:rPr>
          <w:rFonts w:ascii="Cambria" w:hAnsi="Cambria"/>
          <w:b/>
          <w:bCs/>
          <w:i/>
          <w:iCs/>
          <w:noProof/>
          <w:sz w:val="22"/>
          <w:szCs w:val="22"/>
          <w:lang w:val="sr-Latn-BA"/>
        </w:rPr>
        <w:t>Izvještaj o transakcijama sa povezanim licima</w:t>
      </w:r>
    </w:p>
    <w:p w14:paraId="38F81847" w14:textId="77777777" w:rsidR="003B6479" w:rsidRPr="00A13C71" w:rsidRDefault="003B6479" w:rsidP="00FD0E86">
      <w:pPr>
        <w:jc w:val="both"/>
        <w:rPr>
          <w:rFonts w:ascii="Cambria" w:hAnsi="Cambria"/>
          <w:b/>
          <w:bCs/>
          <w:i/>
          <w:iCs/>
          <w:noProof/>
          <w:sz w:val="22"/>
          <w:szCs w:val="22"/>
          <w:lang w:val="sr-Latn-BA"/>
        </w:rPr>
      </w:pPr>
    </w:p>
    <w:p w14:paraId="20FE03FC" w14:textId="0E0C47DB" w:rsidR="0033759C" w:rsidRPr="00A13C71" w:rsidRDefault="0033759C" w:rsidP="0039064B">
      <w:pPr>
        <w:ind w:firstLine="720"/>
        <w:jc w:val="both"/>
        <w:rPr>
          <w:rStyle w:val="FontStyle11"/>
          <w:rFonts w:ascii="Cambria" w:hAnsi="Cambria" w:cs="Tahoma"/>
          <w:b w:val="0"/>
          <w:bCs w:val="0"/>
          <w:noProof/>
          <w:sz w:val="22"/>
          <w:szCs w:val="22"/>
          <w:lang w:val="sr-Latn-BA"/>
        </w:rPr>
      </w:pPr>
      <w:r w:rsidRPr="00A13C71">
        <w:rPr>
          <w:rStyle w:val="FontStyle11"/>
          <w:rFonts w:ascii="Cambria" w:hAnsi="Cambria" w:cs="Tahoma"/>
          <w:b w:val="0"/>
          <w:bCs w:val="0"/>
          <w:noProof/>
          <w:sz w:val="22"/>
          <w:szCs w:val="22"/>
          <w:lang w:val="sr-Latn-BA"/>
        </w:rPr>
        <w:t xml:space="preserve">Kako je Prospektom utvrđeno, provizija za upravljanje </w:t>
      </w:r>
      <w:r w:rsidR="00A13C71">
        <w:rPr>
          <w:rStyle w:val="FontStyle11"/>
          <w:rFonts w:ascii="Cambria" w:hAnsi="Cambria" w:cs="Tahoma"/>
          <w:b w:val="0"/>
          <w:bCs w:val="0"/>
          <w:noProof/>
          <w:sz w:val="22"/>
          <w:szCs w:val="22"/>
          <w:lang w:val="sr-Latn-BA"/>
        </w:rPr>
        <w:t xml:space="preserve">Fondom </w:t>
      </w:r>
      <w:r w:rsidR="004E7A32" w:rsidRPr="00A13C71">
        <w:rPr>
          <w:rStyle w:val="FontStyle11"/>
          <w:rFonts w:ascii="Cambria" w:hAnsi="Cambria" w:cs="Tahoma"/>
          <w:b w:val="0"/>
          <w:bCs w:val="0"/>
          <w:noProof/>
          <w:sz w:val="22"/>
          <w:szCs w:val="22"/>
          <w:lang w:val="sr-Latn-BA"/>
        </w:rPr>
        <w:t xml:space="preserve">je </w:t>
      </w:r>
      <w:r w:rsidRPr="00A13C71">
        <w:rPr>
          <w:rStyle w:val="FontStyle11"/>
          <w:rFonts w:ascii="Cambria" w:hAnsi="Cambria" w:cs="Tahoma"/>
          <w:b w:val="0"/>
          <w:bCs w:val="0"/>
          <w:noProof/>
          <w:sz w:val="22"/>
          <w:szCs w:val="22"/>
          <w:lang w:val="sr-Latn-BA"/>
        </w:rPr>
        <w:t>3,5%</w:t>
      </w:r>
      <w:r w:rsidR="004E7A32" w:rsidRPr="00A13C71">
        <w:rPr>
          <w:rStyle w:val="FontStyle11"/>
          <w:rFonts w:ascii="Cambria" w:hAnsi="Cambria" w:cs="Tahoma"/>
          <w:b w:val="0"/>
          <w:bCs w:val="0"/>
          <w:noProof/>
          <w:sz w:val="22"/>
          <w:szCs w:val="22"/>
          <w:lang w:val="sr-Latn-BA"/>
        </w:rPr>
        <w:t>.</w:t>
      </w:r>
      <w:r w:rsidRPr="00A13C71">
        <w:rPr>
          <w:rStyle w:val="FontStyle11"/>
          <w:rFonts w:ascii="Cambria" w:hAnsi="Cambria" w:cs="Tahoma"/>
          <w:b w:val="0"/>
          <w:bCs w:val="0"/>
          <w:noProof/>
          <w:sz w:val="22"/>
          <w:szCs w:val="22"/>
          <w:lang w:val="sr-Latn-BA"/>
        </w:rPr>
        <w:t xml:space="preserve"> </w:t>
      </w:r>
      <w:r w:rsidR="004E7A32" w:rsidRPr="00A13C71">
        <w:rPr>
          <w:rStyle w:val="FontStyle11"/>
          <w:rFonts w:ascii="Cambria" w:hAnsi="Cambria" w:cs="Tahoma"/>
          <w:b w:val="0"/>
          <w:bCs w:val="0"/>
          <w:noProof/>
          <w:sz w:val="22"/>
          <w:szCs w:val="22"/>
          <w:lang w:val="sr-Latn-BA"/>
        </w:rPr>
        <w:t>O</w:t>
      </w:r>
      <w:r w:rsidRPr="00A13C71">
        <w:rPr>
          <w:rStyle w:val="FontStyle11"/>
          <w:rFonts w:ascii="Cambria" w:hAnsi="Cambria" w:cs="Tahoma"/>
          <w:b w:val="0"/>
          <w:bCs w:val="0"/>
          <w:noProof/>
          <w:sz w:val="22"/>
          <w:szCs w:val="22"/>
          <w:lang w:val="sr-Latn-BA"/>
        </w:rPr>
        <w:t xml:space="preserve">bračunata </w:t>
      </w:r>
      <w:r w:rsidR="00592FD9" w:rsidRPr="00A13C71">
        <w:rPr>
          <w:rStyle w:val="FontStyle11"/>
          <w:rFonts w:ascii="Cambria" w:hAnsi="Cambria" w:cs="Tahoma"/>
          <w:b w:val="0"/>
          <w:bCs w:val="0"/>
          <w:noProof/>
          <w:sz w:val="22"/>
          <w:szCs w:val="22"/>
          <w:lang w:val="sr-Latn-BA"/>
        </w:rPr>
        <w:t>naknada za upravljanje</w:t>
      </w:r>
      <w:r w:rsidRPr="00A13C71">
        <w:rPr>
          <w:rStyle w:val="FontStyle11"/>
          <w:rFonts w:ascii="Cambria" w:hAnsi="Cambria" w:cs="Tahoma"/>
          <w:b w:val="0"/>
          <w:bCs w:val="0"/>
          <w:noProof/>
          <w:sz w:val="22"/>
          <w:szCs w:val="22"/>
          <w:lang w:val="sr-Latn-BA"/>
        </w:rPr>
        <w:t xml:space="preserve"> za period 01.01.-</w:t>
      </w:r>
      <w:r w:rsidR="007F3D42" w:rsidRPr="00A13C71">
        <w:rPr>
          <w:rStyle w:val="FontStyle11"/>
          <w:rFonts w:ascii="Cambria" w:hAnsi="Cambria" w:cs="Tahoma"/>
          <w:b w:val="0"/>
          <w:bCs w:val="0"/>
          <w:noProof/>
          <w:sz w:val="22"/>
          <w:szCs w:val="22"/>
          <w:lang w:val="sr-Latn-BA"/>
        </w:rPr>
        <w:t>3</w:t>
      </w:r>
      <w:r w:rsidR="00FE4ACB">
        <w:rPr>
          <w:rStyle w:val="FontStyle11"/>
          <w:rFonts w:ascii="Cambria" w:hAnsi="Cambria" w:cs="Tahoma"/>
          <w:b w:val="0"/>
          <w:bCs w:val="0"/>
          <w:noProof/>
          <w:sz w:val="22"/>
          <w:szCs w:val="22"/>
          <w:lang w:val="sr-Latn-BA"/>
        </w:rPr>
        <w:t>1</w:t>
      </w:r>
      <w:r w:rsidR="007F3D42" w:rsidRPr="00A13C71">
        <w:rPr>
          <w:rStyle w:val="FontStyle11"/>
          <w:rFonts w:ascii="Cambria" w:hAnsi="Cambria" w:cs="Tahoma"/>
          <w:b w:val="0"/>
          <w:bCs w:val="0"/>
          <w:noProof/>
          <w:sz w:val="22"/>
          <w:szCs w:val="22"/>
          <w:lang w:val="sr-Latn-BA"/>
        </w:rPr>
        <w:t>.</w:t>
      </w:r>
      <w:r w:rsidR="00FE4ACB">
        <w:rPr>
          <w:rStyle w:val="FontStyle11"/>
          <w:rFonts w:ascii="Cambria" w:hAnsi="Cambria" w:cs="Tahoma"/>
          <w:b w:val="0"/>
          <w:bCs w:val="0"/>
          <w:noProof/>
          <w:sz w:val="22"/>
          <w:szCs w:val="22"/>
          <w:lang w:val="sr-Latn-BA"/>
        </w:rPr>
        <w:t>12</w:t>
      </w:r>
      <w:r w:rsidR="00DA78E7" w:rsidRPr="00A13C71">
        <w:rPr>
          <w:rStyle w:val="FontStyle11"/>
          <w:rFonts w:ascii="Cambria" w:hAnsi="Cambria" w:cs="Tahoma"/>
          <w:b w:val="0"/>
          <w:bCs w:val="0"/>
          <w:noProof/>
          <w:sz w:val="22"/>
          <w:szCs w:val="22"/>
          <w:lang w:val="sr-Latn-BA"/>
        </w:rPr>
        <w:t>.202</w:t>
      </w:r>
      <w:r w:rsidR="004156AB">
        <w:rPr>
          <w:rStyle w:val="FontStyle11"/>
          <w:rFonts w:ascii="Cambria" w:hAnsi="Cambria" w:cs="Tahoma"/>
          <w:b w:val="0"/>
          <w:bCs w:val="0"/>
          <w:noProof/>
          <w:sz w:val="22"/>
          <w:szCs w:val="22"/>
          <w:lang w:val="sr-Latn-BA"/>
        </w:rPr>
        <w:t>3</w:t>
      </w:r>
      <w:r w:rsidRPr="00A13C71">
        <w:rPr>
          <w:rStyle w:val="FontStyle11"/>
          <w:rFonts w:ascii="Cambria" w:hAnsi="Cambria" w:cs="Tahoma"/>
          <w:b w:val="0"/>
          <w:bCs w:val="0"/>
          <w:noProof/>
          <w:sz w:val="22"/>
          <w:szCs w:val="22"/>
          <w:lang w:val="sr-Latn-BA"/>
        </w:rPr>
        <w:t>. god</w:t>
      </w:r>
      <w:r w:rsidR="002805FA" w:rsidRPr="00A13C71">
        <w:rPr>
          <w:rStyle w:val="FontStyle11"/>
          <w:rFonts w:ascii="Cambria" w:hAnsi="Cambria" w:cs="Tahoma"/>
          <w:b w:val="0"/>
          <w:bCs w:val="0"/>
          <w:noProof/>
          <w:sz w:val="22"/>
          <w:szCs w:val="22"/>
          <w:lang w:val="sr-Latn-BA"/>
        </w:rPr>
        <w:t>ine</w:t>
      </w:r>
      <w:r w:rsidRPr="00A13C71">
        <w:rPr>
          <w:rStyle w:val="FontStyle11"/>
          <w:rFonts w:ascii="Cambria" w:hAnsi="Cambria" w:cs="Tahoma"/>
          <w:b w:val="0"/>
          <w:bCs w:val="0"/>
          <w:noProof/>
          <w:sz w:val="22"/>
          <w:szCs w:val="22"/>
          <w:lang w:val="sr-Latn-BA"/>
        </w:rPr>
        <w:t xml:space="preserve"> </w:t>
      </w:r>
      <w:r w:rsidR="00A13C71">
        <w:rPr>
          <w:rStyle w:val="FontStyle11"/>
          <w:rFonts w:ascii="Cambria" w:hAnsi="Cambria" w:cs="Tahoma"/>
          <w:b w:val="0"/>
          <w:bCs w:val="0"/>
          <w:noProof/>
          <w:sz w:val="22"/>
          <w:szCs w:val="22"/>
          <w:lang w:val="sr-Latn-BA"/>
        </w:rPr>
        <w:t>iznosi</w:t>
      </w:r>
      <w:r w:rsidRPr="00A13C71">
        <w:rPr>
          <w:rStyle w:val="FontStyle11"/>
          <w:rFonts w:ascii="Cambria" w:hAnsi="Cambria" w:cs="Tahoma"/>
          <w:b w:val="0"/>
          <w:bCs w:val="0"/>
          <w:noProof/>
          <w:sz w:val="22"/>
          <w:szCs w:val="22"/>
          <w:lang w:val="sr-Latn-BA"/>
        </w:rPr>
        <w:t xml:space="preserve"> </w:t>
      </w:r>
      <w:r w:rsidR="009F01E6">
        <w:rPr>
          <w:rStyle w:val="FontStyle11"/>
          <w:rFonts w:ascii="Cambria" w:hAnsi="Cambria" w:cs="Tahoma"/>
          <w:b w:val="0"/>
          <w:bCs w:val="0"/>
          <w:noProof/>
          <w:sz w:val="22"/>
          <w:szCs w:val="22"/>
          <w:lang w:val="sr-Latn-BA"/>
        </w:rPr>
        <w:t>1</w:t>
      </w:r>
      <w:r w:rsidR="00931B97">
        <w:rPr>
          <w:rStyle w:val="FontStyle11"/>
          <w:rFonts w:ascii="Cambria" w:hAnsi="Cambria" w:cs="Tahoma"/>
          <w:b w:val="0"/>
          <w:bCs w:val="0"/>
          <w:noProof/>
          <w:sz w:val="22"/>
          <w:szCs w:val="22"/>
          <w:lang w:val="sr-Latn-BA"/>
        </w:rPr>
        <w:t>97</w:t>
      </w:r>
      <w:r w:rsidR="009F01E6">
        <w:rPr>
          <w:rStyle w:val="FontStyle11"/>
          <w:rFonts w:ascii="Cambria" w:hAnsi="Cambria" w:cs="Tahoma"/>
          <w:b w:val="0"/>
          <w:bCs w:val="0"/>
          <w:noProof/>
          <w:sz w:val="22"/>
          <w:szCs w:val="22"/>
          <w:lang w:val="sr-Latn-BA"/>
        </w:rPr>
        <w:t>.</w:t>
      </w:r>
      <w:r w:rsidR="00931B97">
        <w:rPr>
          <w:rStyle w:val="FontStyle11"/>
          <w:rFonts w:ascii="Cambria" w:hAnsi="Cambria" w:cs="Tahoma"/>
          <w:b w:val="0"/>
          <w:bCs w:val="0"/>
          <w:noProof/>
          <w:sz w:val="22"/>
          <w:szCs w:val="22"/>
          <w:lang w:val="sr-Latn-BA"/>
        </w:rPr>
        <w:t>683</w:t>
      </w:r>
      <w:r w:rsidR="009F01E6">
        <w:rPr>
          <w:rStyle w:val="FontStyle11"/>
          <w:rFonts w:ascii="Cambria" w:hAnsi="Cambria" w:cs="Tahoma"/>
          <w:b w:val="0"/>
          <w:bCs w:val="0"/>
          <w:noProof/>
          <w:sz w:val="22"/>
          <w:szCs w:val="22"/>
          <w:lang w:val="sr-Latn-BA"/>
        </w:rPr>
        <w:t>,</w:t>
      </w:r>
      <w:r w:rsidR="00931B97">
        <w:rPr>
          <w:rStyle w:val="FontStyle11"/>
          <w:rFonts w:ascii="Cambria" w:hAnsi="Cambria" w:cs="Tahoma"/>
          <w:b w:val="0"/>
          <w:bCs w:val="0"/>
          <w:noProof/>
          <w:sz w:val="22"/>
          <w:szCs w:val="22"/>
          <w:lang w:val="sr-Latn-BA"/>
        </w:rPr>
        <w:t>32</w:t>
      </w:r>
      <w:r w:rsidR="007F3D42" w:rsidRPr="00A13C71">
        <w:rPr>
          <w:rStyle w:val="FontStyle11"/>
          <w:rFonts w:ascii="Cambria" w:hAnsi="Cambria" w:cs="Tahoma"/>
          <w:b w:val="0"/>
          <w:bCs w:val="0"/>
          <w:noProof/>
          <w:sz w:val="22"/>
          <w:szCs w:val="22"/>
          <w:lang w:val="sr-Latn-BA"/>
        </w:rPr>
        <w:t xml:space="preserve"> </w:t>
      </w:r>
      <w:r w:rsidR="00FF353A" w:rsidRPr="00A13C71">
        <w:rPr>
          <w:rStyle w:val="FontStyle11"/>
          <w:rFonts w:ascii="Cambria" w:hAnsi="Cambria" w:cs="Tahoma"/>
          <w:b w:val="0"/>
          <w:bCs w:val="0"/>
          <w:noProof/>
          <w:sz w:val="22"/>
          <w:szCs w:val="22"/>
          <w:lang w:val="sr-Latn-BA"/>
        </w:rPr>
        <w:t>KM</w:t>
      </w:r>
      <w:r w:rsidR="004E7A32" w:rsidRPr="00A13C71">
        <w:rPr>
          <w:rStyle w:val="FontStyle11"/>
          <w:rFonts w:ascii="Cambria" w:hAnsi="Cambria" w:cs="Tahoma"/>
          <w:b w:val="0"/>
          <w:bCs w:val="0"/>
          <w:noProof/>
          <w:sz w:val="22"/>
          <w:szCs w:val="22"/>
          <w:lang w:val="sr-Latn-BA"/>
        </w:rPr>
        <w:t>, a obračunata izlazna naknada</w:t>
      </w:r>
      <w:r w:rsidR="00D901A9" w:rsidRPr="00A13C71">
        <w:rPr>
          <w:rStyle w:val="FontStyle11"/>
          <w:rFonts w:ascii="Cambria" w:hAnsi="Cambria" w:cs="Tahoma"/>
          <w:b w:val="0"/>
          <w:bCs w:val="0"/>
          <w:noProof/>
          <w:sz w:val="22"/>
          <w:szCs w:val="22"/>
          <w:lang w:val="sr-Latn-BA"/>
        </w:rPr>
        <w:t xml:space="preserve"> </w:t>
      </w:r>
      <w:r w:rsidR="00A13C71">
        <w:rPr>
          <w:rStyle w:val="FontStyle11"/>
          <w:rFonts w:ascii="Cambria" w:hAnsi="Cambria" w:cs="Tahoma"/>
          <w:b w:val="0"/>
          <w:bCs w:val="0"/>
          <w:noProof/>
          <w:sz w:val="22"/>
          <w:szCs w:val="22"/>
          <w:lang w:val="sr-Latn-BA"/>
        </w:rPr>
        <w:t>iznosi</w:t>
      </w:r>
      <w:r w:rsidR="004E7A32" w:rsidRPr="00A13C71">
        <w:rPr>
          <w:rStyle w:val="FontStyle11"/>
          <w:rFonts w:ascii="Cambria" w:hAnsi="Cambria" w:cs="Tahoma"/>
          <w:b w:val="0"/>
          <w:bCs w:val="0"/>
          <w:noProof/>
          <w:sz w:val="22"/>
          <w:szCs w:val="22"/>
          <w:lang w:val="sr-Latn-BA"/>
        </w:rPr>
        <w:t xml:space="preserve"> </w:t>
      </w:r>
      <w:r w:rsidR="00931B97">
        <w:rPr>
          <w:rStyle w:val="FontStyle11"/>
          <w:rFonts w:ascii="Cambria" w:hAnsi="Cambria" w:cs="Tahoma"/>
          <w:b w:val="0"/>
          <w:bCs w:val="0"/>
          <w:noProof/>
          <w:sz w:val="22"/>
          <w:szCs w:val="22"/>
          <w:lang w:val="sr-Latn-BA"/>
        </w:rPr>
        <w:t>960,04</w:t>
      </w:r>
      <w:r w:rsidR="0039064B" w:rsidRPr="00A13C71">
        <w:rPr>
          <w:rStyle w:val="FontStyle11"/>
          <w:rFonts w:ascii="Cambria" w:hAnsi="Cambria" w:cs="Tahoma"/>
          <w:b w:val="0"/>
          <w:bCs w:val="0"/>
          <w:noProof/>
          <w:sz w:val="22"/>
          <w:szCs w:val="22"/>
          <w:lang w:val="sr-Latn-BA"/>
        </w:rPr>
        <w:t xml:space="preserve"> </w:t>
      </w:r>
      <w:r w:rsidR="00D901A9" w:rsidRPr="00A13C71">
        <w:rPr>
          <w:rStyle w:val="FontStyle11"/>
          <w:rFonts w:ascii="Cambria" w:hAnsi="Cambria" w:cs="Tahoma"/>
          <w:b w:val="0"/>
          <w:bCs w:val="0"/>
          <w:noProof/>
          <w:sz w:val="22"/>
          <w:szCs w:val="22"/>
          <w:lang w:val="sr-Latn-BA"/>
        </w:rPr>
        <w:t>KM</w:t>
      </w:r>
      <w:r w:rsidR="004E7A32" w:rsidRPr="00A13C71">
        <w:rPr>
          <w:rStyle w:val="FontStyle11"/>
          <w:rFonts w:ascii="Cambria" w:hAnsi="Cambria" w:cs="Tahoma"/>
          <w:b w:val="0"/>
          <w:bCs w:val="0"/>
          <w:noProof/>
          <w:sz w:val="22"/>
          <w:szCs w:val="22"/>
          <w:lang w:val="sr-Latn-BA"/>
        </w:rPr>
        <w:t>.</w:t>
      </w:r>
      <w:r w:rsidR="001852C6" w:rsidRPr="00A13C71">
        <w:rPr>
          <w:rStyle w:val="FontStyle11"/>
          <w:rFonts w:ascii="Cambria" w:hAnsi="Cambria" w:cs="Tahoma"/>
          <w:b w:val="0"/>
          <w:bCs w:val="0"/>
          <w:noProof/>
          <w:sz w:val="22"/>
          <w:szCs w:val="22"/>
          <w:lang w:val="sr-Latn-BA"/>
        </w:rPr>
        <w:t xml:space="preserve"> </w:t>
      </w:r>
      <w:bookmarkStart w:id="24" w:name="_Hlk45716962"/>
      <w:r w:rsidR="001852C6" w:rsidRPr="00A13C71">
        <w:rPr>
          <w:rStyle w:val="FontStyle11"/>
          <w:rFonts w:ascii="Cambria" w:hAnsi="Cambria" w:cs="Tahoma"/>
          <w:b w:val="0"/>
          <w:bCs w:val="0"/>
          <w:noProof/>
          <w:sz w:val="22"/>
          <w:szCs w:val="22"/>
          <w:lang w:val="sr-Latn-BA"/>
        </w:rPr>
        <w:t>Na prvi dan perioda, obaveze po osnovu provizije za upravljanje</w:t>
      </w:r>
      <w:r w:rsidR="00D901A9" w:rsidRPr="00A13C71">
        <w:rPr>
          <w:rStyle w:val="FontStyle11"/>
          <w:rFonts w:ascii="Cambria" w:hAnsi="Cambria" w:cs="Tahoma"/>
          <w:b w:val="0"/>
          <w:bCs w:val="0"/>
          <w:noProof/>
          <w:sz w:val="22"/>
          <w:szCs w:val="22"/>
          <w:lang w:val="sr-Latn-BA"/>
        </w:rPr>
        <w:t xml:space="preserve"> i izlazne provizije</w:t>
      </w:r>
      <w:r w:rsidR="001852C6" w:rsidRPr="00A13C71">
        <w:rPr>
          <w:rStyle w:val="FontStyle11"/>
          <w:rFonts w:ascii="Cambria" w:hAnsi="Cambria" w:cs="Tahoma"/>
          <w:b w:val="0"/>
          <w:bCs w:val="0"/>
          <w:noProof/>
          <w:sz w:val="22"/>
          <w:szCs w:val="22"/>
          <w:lang w:val="sr-Latn-BA"/>
        </w:rPr>
        <w:t xml:space="preserve"> bile su </w:t>
      </w:r>
      <w:r w:rsidR="009219FB">
        <w:rPr>
          <w:rStyle w:val="FontStyle11"/>
          <w:rFonts w:ascii="Cambria" w:hAnsi="Cambria" w:cs="Tahoma"/>
          <w:b w:val="0"/>
          <w:bCs w:val="0"/>
          <w:noProof/>
          <w:sz w:val="22"/>
          <w:szCs w:val="22"/>
          <w:lang w:val="sr-Latn-BA"/>
        </w:rPr>
        <w:t>17.749,73</w:t>
      </w:r>
      <w:r w:rsidR="001852C6" w:rsidRPr="00A13C71">
        <w:rPr>
          <w:rStyle w:val="FontStyle11"/>
          <w:rFonts w:ascii="Cambria" w:hAnsi="Cambria" w:cs="Tahoma"/>
          <w:b w:val="0"/>
          <w:bCs w:val="0"/>
          <w:noProof/>
          <w:sz w:val="22"/>
          <w:szCs w:val="22"/>
          <w:lang w:val="sr-Latn-BA"/>
        </w:rPr>
        <w:t xml:space="preserve"> KM</w:t>
      </w:r>
      <w:r w:rsidR="00992E3D" w:rsidRPr="00A13C71">
        <w:rPr>
          <w:rStyle w:val="FontStyle11"/>
          <w:rFonts w:ascii="Cambria" w:hAnsi="Cambria" w:cs="Tahoma"/>
          <w:b w:val="0"/>
          <w:bCs w:val="0"/>
          <w:noProof/>
          <w:sz w:val="22"/>
          <w:szCs w:val="22"/>
          <w:lang w:val="sr-Latn-BA"/>
        </w:rPr>
        <w:t xml:space="preserve"> ( u</w:t>
      </w:r>
      <w:r w:rsidR="00D901A9" w:rsidRPr="00A13C71">
        <w:rPr>
          <w:rStyle w:val="FontStyle11"/>
          <w:rFonts w:ascii="Cambria" w:hAnsi="Cambria" w:cs="Tahoma"/>
          <w:b w:val="0"/>
          <w:bCs w:val="0"/>
          <w:noProof/>
          <w:sz w:val="22"/>
          <w:szCs w:val="22"/>
          <w:lang w:val="sr-Latn-BA"/>
        </w:rPr>
        <w:t>pravlja</w:t>
      </w:r>
      <w:r w:rsidR="00592FD9" w:rsidRPr="00A13C71">
        <w:rPr>
          <w:rStyle w:val="FontStyle11"/>
          <w:rFonts w:ascii="Cambria" w:hAnsi="Cambria" w:cs="Tahoma"/>
          <w:b w:val="0"/>
          <w:bCs w:val="0"/>
          <w:noProof/>
          <w:sz w:val="22"/>
          <w:szCs w:val="22"/>
          <w:lang w:val="sr-Latn-BA"/>
        </w:rPr>
        <w:t xml:space="preserve">čka i izlazna  naknada za </w:t>
      </w:r>
      <w:r w:rsidR="009219FB">
        <w:rPr>
          <w:rStyle w:val="FontStyle11"/>
          <w:rFonts w:ascii="Cambria" w:hAnsi="Cambria" w:cs="Tahoma"/>
          <w:b w:val="0"/>
          <w:bCs w:val="0"/>
          <w:noProof/>
          <w:sz w:val="22"/>
          <w:szCs w:val="22"/>
          <w:lang w:val="sr-Latn-BA"/>
        </w:rPr>
        <w:t>decembar</w:t>
      </w:r>
      <w:r w:rsidR="00592FD9" w:rsidRPr="00A13C71">
        <w:rPr>
          <w:rStyle w:val="FontStyle11"/>
          <w:rFonts w:ascii="Cambria" w:hAnsi="Cambria" w:cs="Tahoma"/>
          <w:b w:val="0"/>
          <w:bCs w:val="0"/>
          <w:noProof/>
          <w:sz w:val="22"/>
          <w:szCs w:val="22"/>
          <w:lang w:val="sr-Latn-BA"/>
        </w:rPr>
        <w:t xml:space="preserve"> </w:t>
      </w:r>
      <w:r w:rsidR="00992E3D" w:rsidRPr="00A13C71">
        <w:rPr>
          <w:rStyle w:val="FontStyle11"/>
          <w:rFonts w:ascii="Cambria" w:hAnsi="Cambria" w:cs="Tahoma"/>
          <w:b w:val="0"/>
          <w:bCs w:val="0"/>
          <w:noProof/>
          <w:sz w:val="22"/>
          <w:szCs w:val="22"/>
          <w:lang w:val="sr-Latn-BA"/>
        </w:rPr>
        <w:t>20</w:t>
      </w:r>
      <w:r w:rsidR="00D901A9" w:rsidRPr="00A13C71">
        <w:rPr>
          <w:rStyle w:val="FontStyle11"/>
          <w:rFonts w:ascii="Cambria" w:hAnsi="Cambria" w:cs="Tahoma"/>
          <w:b w:val="0"/>
          <w:bCs w:val="0"/>
          <w:noProof/>
          <w:sz w:val="22"/>
          <w:szCs w:val="22"/>
          <w:lang w:val="sr-Latn-BA"/>
        </w:rPr>
        <w:t>2</w:t>
      </w:r>
      <w:r w:rsidR="009219FB">
        <w:rPr>
          <w:rStyle w:val="FontStyle11"/>
          <w:rFonts w:ascii="Cambria" w:hAnsi="Cambria" w:cs="Tahoma"/>
          <w:b w:val="0"/>
          <w:bCs w:val="0"/>
          <w:noProof/>
          <w:sz w:val="22"/>
          <w:szCs w:val="22"/>
          <w:lang w:val="sr-Latn-BA"/>
        </w:rPr>
        <w:t>2</w:t>
      </w:r>
      <w:r w:rsidR="00992E3D" w:rsidRPr="00A13C71">
        <w:rPr>
          <w:rStyle w:val="FontStyle11"/>
          <w:rFonts w:ascii="Cambria" w:hAnsi="Cambria" w:cs="Tahoma"/>
          <w:b w:val="0"/>
          <w:bCs w:val="0"/>
          <w:noProof/>
          <w:sz w:val="22"/>
          <w:szCs w:val="22"/>
          <w:lang w:val="sr-Latn-BA"/>
        </w:rPr>
        <w:t>. godine )</w:t>
      </w:r>
      <w:r w:rsidR="001852C6" w:rsidRPr="00A13C71">
        <w:rPr>
          <w:rStyle w:val="FontStyle11"/>
          <w:rFonts w:ascii="Cambria" w:hAnsi="Cambria" w:cs="Tahoma"/>
          <w:b w:val="0"/>
          <w:bCs w:val="0"/>
          <w:noProof/>
          <w:sz w:val="22"/>
          <w:szCs w:val="22"/>
          <w:lang w:val="sr-Latn-BA"/>
        </w:rPr>
        <w:t>.</w:t>
      </w:r>
    </w:p>
    <w:p w14:paraId="4E5975D4" w14:textId="1CD5789A" w:rsidR="001852C6" w:rsidRPr="00A13C71" w:rsidRDefault="001852C6" w:rsidP="00BB0293">
      <w:pPr>
        <w:ind w:firstLine="720"/>
        <w:jc w:val="both"/>
        <w:rPr>
          <w:rStyle w:val="FontStyle11"/>
          <w:rFonts w:ascii="Cambria" w:hAnsi="Cambria" w:cs="Tahoma"/>
          <w:b w:val="0"/>
          <w:bCs w:val="0"/>
          <w:noProof/>
          <w:sz w:val="22"/>
          <w:szCs w:val="22"/>
          <w:lang w:val="sr-Latn-BA"/>
        </w:rPr>
      </w:pPr>
      <w:r w:rsidRPr="00A13C71">
        <w:rPr>
          <w:rStyle w:val="FontStyle11"/>
          <w:rFonts w:ascii="Cambria" w:hAnsi="Cambria" w:cs="Tahoma"/>
          <w:b w:val="0"/>
          <w:bCs w:val="0"/>
          <w:noProof/>
          <w:sz w:val="22"/>
          <w:szCs w:val="22"/>
          <w:lang w:val="sr-Latn-BA"/>
        </w:rPr>
        <w:t>U izvještajnom periodu Društvu je</w:t>
      </w:r>
      <w:r w:rsidR="002805FA" w:rsidRPr="00A13C71">
        <w:rPr>
          <w:rStyle w:val="FontStyle11"/>
          <w:rFonts w:ascii="Cambria" w:hAnsi="Cambria" w:cs="Tahoma"/>
          <w:b w:val="0"/>
          <w:bCs w:val="0"/>
          <w:noProof/>
          <w:sz w:val="22"/>
          <w:szCs w:val="22"/>
          <w:lang w:val="sr-Latn-BA"/>
        </w:rPr>
        <w:t xml:space="preserve"> </w:t>
      </w:r>
      <w:r w:rsidRPr="00A13C71">
        <w:rPr>
          <w:rStyle w:val="FontStyle11"/>
          <w:rFonts w:ascii="Cambria" w:hAnsi="Cambria" w:cs="Tahoma"/>
          <w:b w:val="0"/>
          <w:bCs w:val="0"/>
          <w:noProof/>
          <w:sz w:val="22"/>
          <w:szCs w:val="22"/>
          <w:lang w:val="sr-Latn-BA"/>
        </w:rPr>
        <w:t xml:space="preserve">isplaćeno </w:t>
      </w:r>
      <w:r w:rsidR="00931B97">
        <w:rPr>
          <w:rStyle w:val="FontStyle11"/>
          <w:rFonts w:ascii="Cambria" w:hAnsi="Cambria" w:cs="Tahoma"/>
          <w:b w:val="0"/>
          <w:bCs w:val="0"/>
          <w:noProof/>
          <w:sz w:val="22"/>
          <w:szCs w:val="22"/>
          <w:lang w:val="sr-Latn-BA"/>
        </w:rPr>
        <w:t>182.840,46</w:t>
      </w:r>
      <w:r w:rsidR="00E15FC7" w:rsidRPr="00A13C71">
        <w:rPr>
          <w:rStyle w:val="FontStyle11"/>
          <w:rFonts w:ascii="Cambria" w:hAnsi="Cambria" w:cs="Tahoma"/>
          <w:b w:val="0"/>
          <w:bCs w:val="0"/>
          <w:noProof/>
          <w:sz w:val="22"/>
          <w:szCs w:val="22"/>
          <w:lang w:val="sr-Latn-BA"/>
        </w:rPr>
        <w:t xml:space="preserve"> </w:t>
      </w:r>
      <w:r w:rsidRPr="00A13C71">
        <w:rPr>
          <w:rStyle w:val="FontStyle11"/>
          <w:rFonts w:ascii="Cambria" w:hAnsi="Cambria" w:cs="Tahoma"/>
          <w:b w:val="0"/>
          <w:bCs w:val="0"/>
          <w:noProof/>
          <w:sz w:val="22"/>
          <w:szCs w:val="22"/>
          <w:lang w:val="sr-Latn-BA"/>
        </w:rPr>
        <w:t>KM</w:t>
      </w:r>
      <w:r w:rsidR="00592FD9" w:rsidRPr="00A13C71">
        <w:rPr>
          <w:rStyle w:val="FontStyle11"/>
          <w:rFonts w:ascii="Cambria" w:hAnsi="Cambria" w:cs="Tahoma"/>
          <w:b w:val="0"/>
          <w:bCs w:val="0"/>
          <w:noProof/>
          <w:sz w:val="22"/>
          <w:szCs w:val="22"/>
          <w:lang w:val="sr-Latn-BA"/>
        </w:rPr>
        <w:t xml:space="preserve"> po osnovu naknade za upravljanje </w:t>
      </w:r>
      <w:r w:rsidR="008E560F" w:rsidRPr="00A13C71">
        <w:rPr>
          <w:rStyle w:val="FontStyle11"/>
          <w:rFonts w:ascii="Cambria" w:hAnsi="Cambria" w:cs="Tahoma"/>
          <w:b w:val="0"/>
          <w:bCs w:val="0"/>
          <w:noProof/>
          <w:sz w:val="22"/>
          <w:szCs w:val="22"/>
          <w:lang w:val="sr-Latn-BA"/>
        </w:rPr>
        <w:t xml:space="preserve"> i </w:t>
      </w:r>
      <w:r w:rsidR="00931B97">
        <w:rPr>
          <w:rStyle w:val="FontStyle11"/>
          <w:rFonts w:ascii="Cambria" w:hAnsi="Cambria" w:cs="Tahoma"/>
          <w:b w:val="0"/>
          <w:bCs w:val="0"/>
          <w:noProof/>
          <w:sz w:val="22"/>
          <w:szCs w:val="22"/>
          <w:lang w:val="sr-Latn-BA"/>
        </w:rPr>
        <w:t>846,33</w:t>
      </w:r>
      <w:r w:rsidR="008E560F" w:rsidRPr="00A13C71">
        <w:rPr>
          <w:rStyle w:val="FontStyle11"/>
          <w:rFonts w:ascii="Cambria" w:hAnsi="Cambria" w:cs="Tahoma"/>
          <w:b w:val="0"/>
          <w:bCs w:val="0"/>
          <w:noProof/>
          <w:sz w:val="22"/>
          <w:szCs w:val="22"/>
          <w:lang w:val="sr-Latn-BA"/>
        </w:rPr>
        <w:t xml:space="preserve"> KM po osnovu izlazne </w:t>
      </w:r>
      <w:r w:rsidR="00592FD9" w:rsidRPr="00A13C71">
        <w:rPr>
          <w:rStyle w:val="FontStyle11"/>
          <w:rFonts w:ascii="Cambria" w:hAnsi="Cambria" w:cs="Tahoma"/>
          <w:b w:val="0"/>
          <w:bCs w:val="0"/>
          <w:noProof/>
          <w:sz w:val="22"/>
          <w:szCs w:val="22"/>
          <w:lang w:val="sr-Latn-BA"/>
        </w:rPr>
        <w:t>naknade</w:t>
      </w:r>
      <w:r w:rsidR="008E560F" w:rsidRPr="00A13C71">
        <w:rPr>
          <w:rStyle w:val="FontStyle11"/>
          <w:rFonts w:ascii="Cambria" w:hAnsi="Cambria" w:cs="Tahoma"/>
          <w:b w:val="0"/>
          <w:bCs w:val="0"/>
          <w:noProof/>
          <w:sz w:val="22"/>
          <w:szCs w:val="22"/>
          <w:lang w:val="sr-Latn-BA"/>
        </w:rPr>
        <w:t xml:space="preserve"> </w:t>
      </w:r>
      <w:r w:rsidR="00992E3D" w:rsidRPr="00A13C71">
        <w:rPr>
          <w:rStyle w:val="FontStyle11"/>
          <w:rFonts w:ascii="Cambria" w:hAnsi="Cambria" w:cs="Tahoma"/>
          <w:b w:val="0"/>
          <w:bCs w:val="0"/>
          <w:noProof/>
          <w:sz w:val="22"/>
          <w:szCs w:val="22"/>
          <w:lang w:val="sr-Latn-BA"/>
        </w:rPr>
        <w:t xml:space="preserve">nastale otkupom udjela </w:t>
      </w:r>
      <w:r w:rsidR="000E638B" w:rsidRPr="00A13C71">
        <w:rPr>
          <w:rStyle w:val="FontStyle11"/>
          <w:rFonts w:ascii="Cambria" w:hAnsi="Cambria" w:cs="Tahoma"/>
          <w:b w:val="0"/>
          <w:bCs w:val="0"/>
          <w:noProof/>
          <w:sz w:val="22"/>
          <w:szCs w:val="22"/>
          <w:lang w:val="sr-Latn-BA"/>
        </w:rPr>
        <w:t>( 3,5 %  vrijednosti otkupa</w:t>
      </w:r>
      <w:r w:rsidR="008E560F" w:rsidRPr="00A13C71">
        <w:rPr>
          <w:rStyle w:val="FontStyle11"/>
          <w:rFonts w:ascii="Cambria" w:hAnsi="Cambria" w:cs="Tahoma"/>
          <w:b w:val="0"/>
          <w:bCs w:val="0"/>
          <w:noProof/>
          <w:sz w:val="22"/>
          <w:szCs w:val="22"/>
          <w:lang w:val="sr-Latn-BA"/>
        </w:rPr>
        <w:t>).</w:t>
      </w:r>
    </w:p>
    <w:bookmarkEnd w:id="24"/>
    <w:p w14:paraId="12539415" w14:textId="340813DA" w:rsidR="002376FB" w:rsidRPr="00A13C71" w:rsidRDefault="002376FB" w:rsidP="0033759C">
      <w:pPr>
        <w:jc w:val="both"/>
        <w:rPr>
          <w:rFonts w:ascii="Cambria" w:hAnsi="Cambria"/>
          <w:b/>
          <w:bCs/>
          <w:noProof/>
          <w:sz w:val="22"/>
          <w:szCs w:val="22"/>
          <w:lang w:val="sr-Latn-BA"/>
        </w:rPr>
      </w:pPr>
    </w:p>
    <w:p w14:paraId="34EE582E" w14:textId="77777777" w:rsidR="00055F25" w:rsidRPr="00A13C71" w:rsidRDefault="00055F25" w:rsidP="0033759C">
      <w:pPr>
        <w:jc w:val="both"/>
        <w:rPr>
          <w:rFonts w:ascii="Cambria" w:hAnsi="Cambria"/>
          <w:b/>
          <w:bCs/>
          <w:noProof/>
          <w:sz w:val="22"/>
          <w:szCs w:val="22"/>
          <w:lang w:val="sr-Latn-BA"/>
        </w:rPr>
      </w:pPr>
    </w:p>
    <w:p w14:paraId="4BEBA566" w14:textId="76497911" w:rsidR="0033759C" w:rsidRPr="00A13C71" w:rsidRDefault="000F7254" w:rsidP="0033759C">
      <w:pPr>
        <w:jc w:val="both"/>
        <w:rPr>
          <w:rFonts w:ascii="Cambria" w:hAnsi="Cambria"/>
          <w:b/>
          <w:bCs/>
          <w:noProof/>
          <w:sz w:val="22"/>
          <w:szCs w:val="22"/>
          <w:lang w:val="sr-Latn-BA"/>
        </w:rPr>
      </w:pPr>
      <w:r w:rsidRPr="00A13C71">
        <w:rPr>
          <w:rFonts w:ascii="Cambria" w:hAnsi="Cambria"/>
          <w:b/>
          <w:bCs/>
          <w:noProof/>
          <w:sz w:val="22"/>
          <w:szCs w:val="22"/>
          <w:lang w:val="sr-Latn-BA"/>
        </w:rPr>
        <w:t>5.</w:t>
      </w:r>
      <w:r w:rsidRPr="00A13C71">
        <w:rPr>
          <w:rFonts w:ascii="Cambria" w:hAnsi="Cambria"/>
          <w:b/>
          <w:bCs/>
          <w:noProof/>
          <w:sz w:val="22"/>
          <w:szCs w:val="22"/>
          <w:lang w:val="sr-Latn-BA"/>
        </w:rPr>
        <w:tab/>
      </w:r>
      <w:r w:rsidR="0033759C" w:rsidRPr="00006C9E">
        <w:rPr>
          <w:rFonts w:ascii="Cambria" w:hAnsi="Cambria"/>
          <w:b/>
          <w:bCs/>
          <w:noProof/>
          <w:sz w:val="22"/>
          <w:szCs w:val="22"/>
          <w:lang w:val="sr-Latn-BA"/>
        </w:rPr>
        <w:t>DODATNE  INFORMACIJE</w:t>
      </w:r>
    </w:p>
    <w:p w14:paraId="71E73A86" w14:textId="65E52EDD" w:rsidR="00441718" w:rsidRPr="00A13C71" w:rsidRDefault="00441718" w:rsidP="0033759C">
      <w:pPr>
        <w:jc w:val="both"/>
        <w:rPr>
          <w:rFonts w:ascii="Cambria" w:hAnsi="Cambria"/>
          <w:b/>
          <w:bCs/>
          <w:noProof/>
          <w:sz w:val="22"/>
          <w:szCs w:val="22"/>
          <w:lang w:val="sr-Latn-BA"/>
        </w:rPr>
      </w:pPr>
    </w:p>
    <w:p w14:paraId="019426A2" w14:textId="2B261C3F" w:rsidR="00441718" w:rsidRPr="00A13C71" w:rsidRDefault="007F4E71" w:rsidP="00441718">
      <w:pPr>
        <w:tabs>
          <w:tab w:val="left" w:pos="269"/>
          <w:tab w:val="left" w:pos="806"/>
          <w:tab w:val="left" w:pos="1728"/>
          <w:tab w:val="left" w:pos="2448"/>
          <w:tab w:val="left" w:pos="3168"/>
          <w:tab w:val="left" w:pos="3888"/>
          <w:tab w:val="left" w:pos="4608"/>
          <w:tab w:val="left" w:pos="5328"/>
          <w:tab w:val="left" w:pos="6048"/>
          <w:tab w:val="left" w:pos="6768"/>
        </w:tabs>
        <w:jc w:val="both"/>
        <w:rPr>
          <w:rFonts w:ascii="Cambria" w:hAnsi="Cambria" w:cs="Arial"/>
          <w:noProof/>
          <w:sz w:val="22"/>
          <w:szCs w:val="22"/>
          <w:lang w:val="sr-Latn-BA"/>
        </w:rPr>
      </w:pPr>
      <w:r w:rsidRPr="00A13C71">
        <w:rPr>
          <w:rFonts w:ascii="Cambria" w:hAnsi="Cambria"/>
          <w:b/>
          <w:bCs/>
          <w:noProof/>
          <w:sz w:val="22"/>
          <w:szCs w:val="22"/>
          <w:lang w:val="sr-Latn-BA"/>
        </w:rPr>
        <w:t xml:space="preserve">               </w:t>
      </w:r>
      <w:r w:rsidR="00441718" w:rsidRPr="00A13C71">
        <w:rPr>
          <w:rFonts w:ascii="Cambria" w:hAnsi="Cambria" w:cs="Arial"/>
          <w:noProof/>
          <w:sz w:val="22"/>
          <w:szCs w:val="22"/>
          <w:lang w:val="sr-Latn-BA"/>
        </w:rPr>
        <w:t>U skladu sa članom 175. Zakona o investicionim fondovima (''Službeni glasnik RS'', broj 92/06</w:t>
      </w:r>
      <w:r w:rsidR="00623342" w:rsidRPr="00A13C71">
        <w:rPr>
          <w:rFonts w:ascii="Cambria" w:hAnsi="Cambria" w:cs="Arial"/>
          <w:noProof/>
          <w:sz w:val="22"/>
          <w:szCs w:val="22"/>
          <w:lang w:val="sr-Latn-BA"/>
        </w:rPr>
        <w:t>,</w:t>
      </w:r>
      <w:r w:rsidR="00441718" w:rsidRPr="00A13C71">
        <w:rPr>
          <w:rFonts w:ascii="Cambria" w:hAnsi="Cambria" w:cs="Arial"/>
          <w:noProof/>
          <w:sz w:val="22"/>
          <w:szCs w:val="22"/>
          <w:lang w:val="sr-Latn-BA"/>
        </w:rPr>
        <w:t xml:space="preserve"> 82/15</w:t>
      </w:r>
      <w:r w:rsidR="00623342" w:rsidRPr="00A13C71">
        <w:rPr>
          <w:rFonts w:ascii="Cambria" w:hAnsi="Cambria" w:cs="Arial"/>
          <w:noProof/>
          <w:sz w:val="22"/>
          <w:szCs w:val="22"/>
          <w:lang w:val="sr-Latn-BA"/>
        </w:rPr>
        <w:t xml:space="preserve"> i 94/19</w:t>
      </w:r>
      <w:r w:rsidR="00441718" w:rsidRPr="00A13C71">
        <w:rPr>
          <w:rFonts w:ascii="Cambria" w:hAnsi="Cambria" w:cs="Arial"/>
          <w:noProof/>
          <w:sz w:val="22"/>
          <w:szCs w:val="22"/>
          <w:lang w:val="sr-Latn-BA"/>
        </w:rPr>
        <w:t>) Fond je u obavezi da, pored već objelodanjenih informacija u svojim finansijskim izvještajima, objelodani i sljedeće informacije:</w:t>
      </w:r>
    </w:p>
    <w:p w14:paraId="4272A23B" w14:textId="77777777" w:rsidR="008B7ABE" w:rsidRDefault="008B7ABE" w:rsidP="0033759C">
      <w:pPr>
        <w:jc w:val="both"/>
        <w:rPr>
          <w:rFonts w:ascii="Cambria" w:hAnsi="Cambria"/>
          <w:b/>
          <w:bCs/>
          <w:i/>
          <w:iCs/>
          <w:noProof/>
          <w:sz w:val="22"/>
          <w:szCs w:val="22"/>
          <w:lang w:val="sr-Latn-BA"/>
        </w:rPr>
      </w:pPr>
    </w:p>
    <w:p w14:paraId="58049524" w14:textId="77777777" w:rsidR="008B7ABE" w:rsidRDefault="008B7ABE" w:rsidP="0033759C">
      <w:pPr>
        <w:jc w:val="both"/>
        <w:rPr>
          <w:rFonts w:ascii="Cambria" w:hAnsi="Cambria"/>
          <w:b/>
          <w:bCs/>
          <w:i/>
          <w:iCs/>
          <w:noProof/>
          <w:sz w:val="22"/>
          <w:szCs w:val="22"/>
          <w:lang w:val="sr-Latn-BA"/>
        </w:rPr>
      </w:pPr>
    </w:p>
    <w:p w14:paraId="53EC8B79" w14:textId="42C699BC" w:rsidR="0033759C" w:rsidRPr="00A13C71" w:rsidRDefault="0033759C" w:rsidP="0033759C">
      <w:pPr>
        <w:jc w:val="both"/>
        <w:rPr>
          <w:rFonts w:ascii="Cambria" w:hAnsi="Cambria"/>
          <w:b/>
          <w:bCs/>
          <w:i/>
          <w:iCs/>
          <w:noProof/>
          <w:sz w:val="22"/>
          <w:szCs w:val="22"/>
          <w:lang w:val="sr-Latn-BA"/>
        </w:rPr>
      </w:pPr>
      <w:r w:rsidRPr="00A13C71">
        <w:rPr>
          <w:rFonts w:ascii="Cambria" w:hAnsi="Cambria"/>
          <w:b/>
          <w:bCs/>
          <w:i/>
          <w:iCs/>
          <w:noProof/>
          <w:sz w:val="22"/>
          <w:szCs w:val="22"/>
          <w:lang w:val="sr-Latn-BA"/>
        </w:rPr>
        <w:t>Pokazatelj troškova za obračunski period</w:t>
      </w:r>
    </w:p>
    <w:p w14:paraId="34AF70FB" w14:textId="77777777" w:rsidR="0033759C" w:rsidRPr="00A13C71" w:rsidRDefault="0033759C" w:rsidP="0033759C">
      <w:pPr>
        <w:jc w:val="both"/>
        <w:rPr>
          <w:rFonts w:ascii="Cambria" w:hAnsi="Cambria"/>
          <w:b/>
          <w:bCs/>
          <w:noProof/>
          <w:sz w:val="22"/>
          <w:szCs w:val="22"/>
          <w:lang w:val="sr-Latn-BA"/>
        </w:rPr>
      </w:pPr>
    </w:p>
    <w:p w14:paraId="498E26B9" w14:textId="77777777" w:rsidR="0033759C" w:rsidRPr="00A13C71" w:rsidRDefault="0033759C" w:rsidP="0033759C">
      <w:pPr>
        <w:keepNext/>
        <w:outlineLvl w:val="6"/>
        <w:rPr>
          <w:rFonts w:ascii="Cambria" w:hAnsi="Cambria"/>
          <w:noProof/>
          <w:sz w:val="22"/>
          <w:szCs w:val="22"/>
          <w:lang w:val="sr-Latn-BA"/>
        </w:rPr>
      </w:pPr>
      <w:r w:rsidRPr="00A13C71">
        <w:rPr>
          <w:rFonts w:ascii="Cambria" w:hAnsi="Cambria"/>
          <w:noProof/>
          <w:sz w:val="22"/>
          <w:szCs w:val="22"/>
          <w:lang w:val="sr-Latn-BA"/>
        </w:rPr>
        <w:t>Ukupna naknada za upravljanje + ukupni troškovi iz</w:t>
      </w:r>
    </w:p>
    <w:p w14:paraId="6D70635E" w14:textId="0E9FA8E5" w:rsidR="0033759C" w:rsidRPr="002A471C" w:rsidRDefault="0033759C" w:rsidP="0033759C">
      <w:pPr>
        <w:keepNext/>
        <w:outlineLvl w:val="6"/>
        <w:rPr>
          <w:rFonts w:ascii="Cambria" w:hAnsi="Cambria"/>
          <w:noProof/>
          <w:sz w:val="22"/>
          <w:szCs w:val="22"/>
          <w:lang w:val="sr-Latn-BA"/>
        </w:rPr>
      </w:pPr>
      <w:r w:rsidRPr="002A471C">
        <w:rPr>
          <w:rFonts w:ascii="Cambria" w:hAnsi="Cambria"/>
          <w:noProof/>
          <w:sz w:val="22"/>
          <w:szCs w:val="22"/>
          <w:u w:val="single"/>
          <w:lang w:val="sr-Latn-BA"/>
        </w:rPr>
        <w:t>Člana 9</w:t>
      </w:r>
      <w:r w:rsidR="00C63118" w:rsidRPr="002A471C">
        <w:rPr>
          <w:rFonts w:ascii="Cambria" w:hAnsi="Cambria"/>
          <w:noProof/>
          <w:sz w:val="22"/>
          <w:szCs w:val="22"/>
          <w:u w:val="single"/>
          <w:lang w:val="sr-Latn-BA"/>
        </w:rPr>
        <w:t>5</w:t>
      </w:r>
      <w:r w:rsidRPr="002A471C">
        <w:rPr>
          <w:rFonts w:ascii="Cambria" w:hAnsi="Cambria"/>
          <w:noProof/>
          <w:sz w:val="22"/>
          <w:szCs w:val="22"/>
          <w:u w:val="single"/>
          <w:lang w:val="sr-Latn-BA"/>
        </w:rPr>
        <w:t xml:space="preserve">. osim troškova iz stava 1.,tačke b,e, i z_            </w:t>
      </w:r>
      <w:r w:rsidRPr="002A471C">
        <w:rPr>
          <w:rFonts w:ascii="Cambria" w:hAnsi="Cambria"/>
          <w:noProof/>
          <w:sz w:val="22"/>
          <w:szCs w:val="22"/>
          <w:lang w:val="sr-Latn-BA"/>
        </w:rPr>
        <w:t xml:space="preserve">=  </w:t>
      </w:r>
      <w:r w:rsidRPr="002A471C">
        <w:rPr>
          <w:rFonts w:ascii="Cambria" w:hAnsi="Cambria"/>
          <w:noProof/>
          <w:sz w:val="22"/>
          <w:szCs w:val="22"/>
          <w:u w:val="single"/>
          <w:lang w:val="sr-Latn-BA"/>
        </w:rPr>
        <w:t xml:space="preserve">    </w:t>
      </w:r>
      <w:r w:rsidR="00006C9E">
        <w:rPr>
          <w:rFonts w:ascii="Cambria" w:hAnsi="Cambria"/>
          <w:noProof/>
          <w:sz w:val="22"/>
          <w:szCs w:val="22"/>
          <w:u w:val="single"/>
          <w:lang w:val="sr-Latn-BA"/>
        </w:rPr>
        <w:t>197.683,32</w:t>
      </w:r>
      <w:r w:rsidRPr="002A471C">
        <w:rPr>
          <w:rFonts w:ascii="Cambria" w:hAnsi="Cambria"/>
          <w:noProof/>
          <w:sz w:val="22"/>
          <w:szCs w:val="22"/>
          <w:u w:val="single"/>
          <w:lang w:val="sr-Latn-BA"/>
        </w:rPr>
        <w:t>_</w:t>
      </w:r>
      <w:r w:rsidRPr="002A471C">
        <w:rPr>
          <w:rFonts w:ascii="Cambria" w:hAnsi="Cambria"/>
          <w:noProof/>
          <w:sz w:val="22"/>
          <w:szCs w:val="22"/>
          <w:lang w:val="sr-Latn-BA"/>
        </w:rPr>
        <w:t xml:space="preserve">   =  </w:t>
      </w:r>
      <w:r w:rsidR="00006C9E">
        <w:rPr>
          <w:rFonts w:ascii="Cambria" w:hAnsi="Cambria"/>
          <w:noProof/>
          <w:sz w:val="22"/>
          <w:szCs w:val="22"/>
          <w:lang w:val="sr-Latn-BA"/>
        </w:rPr>
        <w:t>3,4998</w:t>
      </w:r>
      <w:r w:rsidRPr="002A471C">
        <w:rPr>
          <w:rFonts w:ascii="Cambria" w:hAnsi="Cambria"/>
          <w:noProof/>
          <w:sz w:val="22"/>
          <w:szCs w:val="22"/>
          <w:lang w:val="sr-Latn-BA"/>
        </w:rPr>
        <w:t xml:space="preserve">  %</w:t>
      </w:r>
      <w:r w:rsidR="00A11412" w:rsidRPr="002A471C">
        <w:rPr>
          <w:rFonts w:ascii="Cambria" w:hAnsi="Cambria"/>
          <w:noProof/>
          <w:sz w:val="22"/>
          <w:szCs w:val="22"/>
          <w:lang w:val="sr-Latn-BA"/>
        </w:rPr>
        <w:t xml:space="preserve">  </w:t>
      </w:r>
    </w:p>
    <w:p w14:paraId="0BA0F707" w14:textId="797BB85B" w:rsidR="0033759C" w:rsidRPr="00A13C71" w:rsidRDefault="0033759C" w:rsidP="0033759C">
      <w:pPr>
        <w:rPr>
          <w:rFonts w:ascii="Cambria" w:hAnsi="Cambria"/>
          <w:noProof/>
          <w:sz w:val="22"/>
          <w:szCs w:val="22"/>
          <w:lang w:val="sr-Latn-BA"/>
        </w:rPr>
      </w:pPr>
      <w:r w:rsidRPr="002A471C">
        <w:rPr>
          <w:rFonts w:ascii="Cambria" w:hAnsi="Cambria"/>
          <w:noProof/>
          <w:sz w:val="22"/>
          <w:szCs w:val="22"/>
          <w:lang w:val="sr-Latn-BA"/>
        </w:rPr>
        <w:t xml:space="preserve">Prosječna neto vrijednost imovine                                          </w:t>
      </w:r>
      <w:r w:rsidR="00C82074" w:rsidRPr="002A471C">
        <w:rPr>
          <w:rFonts w:ascii="Cambria" w:hAnsi="Cambria"/>
          <w:noProof/>
          <w:sz w:val="22"/>
          <w:szCs w:val="22"/>
          <w:lang w:val="sr-Latn-BA"/>
        </w:rPr>
        <w:t xml:space="preserve">  </w:t>
      </w:r>
      <w:r w:rsidRPr="002A471C">
        <w:rPr>
          <w:rFonts w:ascii="Cambria" w:hAnsi="Cambria"/>
          <w:noProof/>
          <w:sz w:val="22"/>
          <w:szCs w:val="22"/>
          <w:lang w:val="sr-Latn-BA"/>
        </w:rPr>
        <w:t xml:space="preserve"> </w:t>
      </w:r>
      <w:r w:rsidR="002A471C" w:rsidRPr="002A471C">
        <w:rPr>
          <w:rFonts w:ascii="Cambria" w:hAnsi="Cambria"/>
          <w:noProof/>
          <w:sz w:val="22"/>
          <w:szCs w:val="22"/>
          <w:lang w:val="sr-Latn-BA"/>
        </w:rPr>
        <w:t>5.</w:t>
      </w:r>
      <w:r w:rsidR="00006C9E">
        <w:rPr>
          <w:rFonts w:ascii="Cambria" w:hAnsi="Cambria"/>
          <w:noProof/>
          <w:sz w:val="22"/>
          <w:szCs w:val="22"/>
          <w:lang w:val="sr-Latn-BA"/>
        </w:rPr>
        <w:t>648.348,50</w:t>
      </w:r>
    </w:p>
    <w:p w14:paraId="66C9E7E6" w14:textId="77777777" w:rsidR="00E15FC7" w:rsidRPr="00A13C71" w:rsidRDefault="00E15FC7" w:rsidP="0033759C">
      <w:pPr>
        <w:rPr>
          <w:rFonts w:ascii="Cambria" w:hAnsi="Cambria"/>
          <w:noProof/>
          <w:sz w:val="22"/>
          <w:szCs w:val="22"/>
          <w:lang w:val="sr-Latn-BA"/>
        </w:rPr>
      </w:pPr>
    </w:p>
    <w:p w14:paraId="5BDC6072" w14:textId="77777777" w:rsidR="002C1E2A" w:rsidRPr="00A13C71" w:rsidRDefault="002C1E2A" w:rsidP="00BB0293">
      <w:pPr>
        <w:widowControl w:val="0"/>
        <w:autoSpaceDE w:val="0"/>
        <w:autoSpaceDN w:val="0"/>
        <w:adjustRightInd w:val="0"/>
        <w:ind w:firstLine="720"/>
        <w:jc w:val="both"/>
        <w:rPr>
          <w:rFonts w:ascii="Cambria" w:hAnsi="Cambria"/>
          <w:noProof/>
          <w:sz w:val="22"/>
          <w:szCs w:val="22"/>
          <w:lang w:val="sr-Latn-BA"/>
        </w:rPr>
      </w:pPr>
      <w:r w:rsidRPr="00A13C71">
        <w:rPr>
          <w:rFonts w:ascii="Cambria" w:hAnsi="Cambria"/>
          <w:noProof/>
          <w:sz w:val="22"/>
          <w:szCs w:val="22"/>
          <w:lang w:val="sr-Latn-BA"/>
        </w:rPr>
        <w:t>Društvo za upravljanje u skladu sa Prospektom naplaćuje proviziju za upravljanje 3,5%.</w:t>
      </w:r>
    </w:p>
    <w:p w14:paraId="306CE189" w14:textId="3FBC6CB6" w:rsidR="002C1E2A" w:rsidRPr="00A13C71" w:rsidRDefault="002C1E2A" w:rsidP="002C1E2A">
      <w:pPr>
        <w:widowControl w:val="0"/>
        <w:autoSpaceDE w:val="0"/>
        <w:autoSpaceDN w:val="0"/>
        <w:adjustRightInd w:val="0"/>
        <w:jc w:val="both"/>
        <w:rPr>
          <w:rFonts w:ascii="Cambria" w:hAnsi="Cambria"/>
          <w:noProof/>
          <w:sz w:val="22"/>
          <w:szCs w:val="22"/>
          <w:lang w:val="sr-Latn-BA"/>
        </w:rPr>
      </w:pPr>
      <w:r w:rsidRPr="00A13C71">
        <w:rPr>
          <w:rFonts w:ascii="Cambria" w:hAnsi="Cambria"/>
          <w:noProof/>
          <w:sz w:val="22"/>
          <w:szCs w:val="22"/>
          <w:lang w:val="sr-Latn-BA"/>
        </w:rPr>
        <w:t>Razlika između ova dva procenta se pojavljuje zbog različite osnovice, jer za obračun provizije osnovica je umanjena za korekciju vrijednosti ulaganja Fonda.</w:t>
      </w:r>
    </w:p>
    <w:p w14:paraId="3AA34EB2" w14:textId="77777777" w:rsidR="00AF0349" w:rsidRPr="00A13C71" w:rsidRDefault="00AF0349" w:rsidP="002C1E2A">
      <w:pPr>
        <w:widowControl w:val="0"/>
        <w:autoSpaceDE w:val="0"/>
        <w:autoSpaceDN w:val="0"/>
        <w:adjustRightInd w:val="0"/>
        <w:jc w:val="both"/>
        <w:rPr>
          <w:rFonts w:ascii="Cambria" w:hAnsi="Cambria"/>
          <w:noProof/>
          <w:sz w:val="22"/>
          <w:szCs w:val="22"/>
          <w:lang w:val="sr-Latn-BA"/>
        </w:rPr>
      </w:pPr>
    </w:p>
    <w:p w14:paraId="28D75545" w14:textId="61CB3237" w:rsidR="002C1E2A" w:rsidRPr="00A13C71" w:rsidRDefault="00AC39AD" w:rsidP="00055270">
      <w:pPr>
        <w:widowControl w:val="0"/>
        <w:autoSpaceDE w:val="0"/>
        <w:autoSpaceDN w:val="0"/>
        <w:adjustRightInd w:val="0"/>
        <w:ind w:firstLine="709"/>
        <w:jc w:val="both"/>
        <w:rPr>
          <w:rFonts w:ascii="Cambria" w:hAnsi="Cambria"/>
          <w:b/>
          <w:bCs/>
          <w:i/>
          <w:iCs/>
          <w:noProof/>
          <w:sz w:val="22"/>
          <w:szCs w:val="22"/>
          <w:lang w:val="sr-Latn-BA"/>
        </w:rPr>
      </w:pPr>
      <w:r w:rsidRPr="00A13C71">
        <w:rPr>
          <w:rFonts w:ascii="Cambria" w:hAnsi="Cambria"/>
          <w:noProof/>
          <w:sz w:val="22"/>
          <w:szCs w:val="22"/>
          <w:lang w:val="sr-Latn-BA"/>
        </w:rPr>
        <w:t>Na dan 3</w:t>
      </w:r>
      <w:r w:rsidR="00697DC0">
        <w:rPr>
          <w:rFonts w:ascii="Cambria" w:hAnsi="Cambria"/>
          <w:noProof/>
          <w:sz w:val="22"/>
          <w:szCs w:val="22"/>
          <w:lang w:val="sr-Latn-BA"/>
        </w:rPr>
        <w:t>1</w:t>
      </w:r>
      <w:r w:rsidRPr="00A13C71">
        <w:rPr>
          <w:rFonts w:ascii="Cambria" w:hAnsi="Cambria"/>
          <w:noProof/>
          <w:sz w:val="22"/>
          <w:szCs w:val="22"/>
          <w:lang w:val="sr-Latn-BA"/>
        </w:rPr>
        <w:t>.</w:t>
      </w:r>
      <w:r w:rsidR="00697DC0">
        <w:rPr>
          <w:rFonts w:ascii="Cambria" w:hAnsi="Cambria"/>
          <w:noProof/>
          <w:sz w:val="22"/>
          <w:szCs w:val="22"/>
          <w:lang w:val="sr-Latn-BA"/>
        </w:rPr>
        <w:t>12</w:t>
      </w:r>
      <w:r w:rsidR="002C1E2A" w:rsidRPr="00A13C71">
        <w:rPr>
          <w:rFonts w:ascii="Cambria" w:hAnsi="Cambria"/>
          <w:noProof/>
          <w:sz w:val="22"/>
          <w:szCs w:val="22"/>
          <w:lang w:val="sr-Latn-BA"/>
        </w:rPr>
        <w:t>.202</w:t>
      </w:r>
      <w:r w:rsidR="009219FB">
        <w:rPr>
          <w:rFonts w:ascii="Cambria" w:hAnsi="Cambria"/>
          <w:noProof/>
          <w:sz w:val="22"/>
          <w:szCs w:val="22"/>
          <w:lang w:val="sr-Latn-BA"/>
        </w:rPr>
        <w:t>3</w:t>
      </w:r>
      <w:r w:rsidR="002C1E2A" w:rsidRPr="00A13C71">
        <w:rPr>
          <w:rFonts w:ascii="Cambria" w:hAnsi="Cambria"/>
          <w:noProof/>
          <w:sz w:val="22"/>
          <w:szCs w:val="22"/>
          <w:lang w:val="sr-Latn-BA"/>
        </w:rPr>
        <w:t>.godine korekcija ulaganja</w:t>
      </w:r>
      <w:r w:rsidR="00AF0349" w:rsidRPr="00A13C71">
        <w:rPr>
          <w:rFonts w:ascii="Cambria" w:hAnsi="Cambria"/>
          <w:noProof/>
          <w:sz w:val="22"/>
          <w:szCs w:val="22"/>
          <w:lang w:val="sr-Latn-BA"/>
        </w:rPr>
        <w:t xml:space="preserve"> se odnosi na nedozvoljena ulaganja, odnosno ulaganje u udjele otvorenih investicionih fondova (</w:t>
      </w:r>
      <w:r w:rsidR="00055270">
        <w:rPr>
          <w:rFonts w:ascii="Cambria" w:hAnsi="Cambria"/>
          <w:noProof/>
          <w:sz w:val="22"/>
          <w:szCs w:val="22"/>
          <w:lang w:val="sr-Latn-BA"/>
        </w:rPr>
        <w:t>ZIF Atlas Mont a.d. Podgorica</w:t>
      </w:r>
      <w:r w:rsidR="00AF0349" w:rsidRPr="00A13C71">
        <w:rPr>
          <w:rFonts w:ascii="Cambria" w:hAnsi="Cambria"/>
          <w:noProof/>
          <w:sz w:val="22"/>
          <w:szCs w:val="22"/>
          <w:lang w:val="sr-Latn-BA"/>
        </w:rPr>
        <w:t xml:space="preserve">) u iznosu </w:t>
      </w:r>
      <w:r w:rsidR="002C1E2A" w:rsidRPr="00A13C71">
        <w:rPr>
          <w:rFonts w:ascii="Cambria" w:hAnsi="Cambria"/>
          <w:noProof/>
          <w:sz w:val="22"/>
          <w:szCs w:val="22"/>
          <w:lang w:val="sr-Latn-BA"/>
        </w:rPr>
        <w:t xml:space="preserve"> iznosi </w:t>
      </w:r>
      <w:r w:rsidR="00AD7F8B" w:rsidRPr="00A13C71">
        <w:rPr>
          <w:rFonts w:ascii="Cambria" w:hAnsi="Cambria"/>
          <w:noProof/>
          <w:sz w:val="22"/>
          <w:szCs w:val="22"/>
          <w:lang w:val="sr-Latn-BA"/>
        </w:rPr>
        <w:t>864,00</w:t>
      </w:r>
      <w:r w:rsidR="00E14EFE" w:rsidRPr="00A13C71">
        <w:rPr>
          <w:rFonts w:ascii="Cambria" w:hAnsi="Cambria"/>
          <w:noProof/>
          <w:sz w:val="22"/>
          <w:szCs w:val="22"/>
          <w:lang w:val="sr-Latn-BA"/>
        </w:rPr>
        <w:t xml:space="preserve"> </w:t>
      </w:r>
      <w:r w:rsidR="002C1E2A" w:rsidRPr="00A13C71">
        <w:rPr>
          <w:rFonts w:ascii="Cambria" w:hAnsi="Cambria"/>
          <w:noProof/>
          <w:sz w:val="22"/>
          <w:szCs w:val="22"/>
          <w:lang w:val="sr-Latn-BA"/>
        </w:rPr>
        <w:t>KM</w:t>
      </w:r>
      <w:r w:rsidR="00AF0349" w:rsidRPr="00A13C71">
        <w:rPr>
          <w:rFonts w:ascii="Cambria" w:hAnsi="Cambria"/>
          <w:noProof/>
          <w:sz w:val="22"/>
          <w:szCs w:val="22"/>
          <w:lang w:val="sr-Latn-BA"/>
        </w:rPr>
        <w:t>.</w:t>
      </w:r>
      <w:r w:rsidR="00E14EFE" w:rsidRPr="00A13C71">
        <w:rPr>
          <w:rFonts w:ascii="Cambria" w:hAnsi="Cambria"/>
          <w:noProof/>
          <w:sz w:val="22"/>
          <w:szCs w:val="22"/>
          <w:lang w:val="sr-Latn-BA"/>
        </w:rPr>
        <w:t xml:space="preserve"> </w:t>
      </w:r>
    </w:p>
    <w:p w14:paraId="60C7BA0A" w14:textId="77777777" w:rsidR="00D75D9C" w:rsidRPr="00A13C71" w:rsidRDefault="00D75D9C" w:rsidP="00287BB1">
      <w:pPr>
        <w:widowControl w:val="0"/>
        <w:autoSpaceDE w:val="0"/>
        <w:autoSpaceDN w:val="0"/>
        <w:adjustRightInd w:val="0"/>
        <w:jc w:val="both"/>
        <w:rPr>
          <w:rFonts w:ascii="Cambria" w:hAnsi="Cambria"/>
          <w:b/>
          <w:bCs/>
          <w:i/>
          <w:iCs/>
          <w:noProof/>
          <w:sz w:val="22"/>
          <w:szCs w:val="22"/>
          <w:lang w:val="sr-Latn-BA"/>
        </w:rPr>
      </w:pPr>
    </w:p>
    <w:p w14:paraId="40E4097A" w14:textId="77777777" w:rsidR="00055F25" w:rsidRPr="00A13C71" w:rsidRDefault="00055F25" w:rsidP="00287BB1">
      <w:pPr>
        <w:widowControl w:val="0"/>
        <w:autoSpaceDE w:val="0"/>
        <w:autoSpaceDN w:val="0"/>
        <w:adjustRightInd w:val="0"/>
        <w:jc w:val="both"/>
        <w:rPr>
          <w:rFonts w:ascii="Cambria" w:hAnsi="Cambria"/>
          <w:b/>
          <w:bCs/>
          <w:i/>
          <w:iCs/>
          <w:noProof/>
          <w:sz w:val="22"/>
          <w:szCs w:val="22"/>
          <w:lang w:val="sr-Latn-BA"/>
        </w:rPr>
      </w:pPr>
    </w:p>
    <w:p w14:paraId="09210F23" w14:textId="3003E18F" w:rsidR="000F7254" w:rsidRPr="00A13C71" w:rsidRDefault="00287BB1" w:rsidP="00ED4BDA">
      <w:pPr>
        <w:widowControl w:val="0"/>
        <w:autoSpaceDE w:val="0"/>
        <w:autoSpaceDN w:val="0"/>
        <w:adjustRightInd w:val="0"/>
        <w:jc w:val="both"/>
        <w:rPr>
          <w:rFonts w:ascii="Cambria" w:hAnsi="Cambria"/>
          <w:b/>
          <w:bCs/>
          <w:i/>
          <w:iCs/>
          <w:noProof/>
          <w:sz w:val="22"/>
          <w:szCs w:val="22"/>
          <w:lang w:val="sr-Latn-BA"/>
        </w:rPr>
      </w:pPr>
      <w:r w:rsidRPr="00006C9E">
        <w:rPr>
          <w:rFonts w:ascii="Cambria" w:hAnsi="Cambria"/>
          <w:b/>
          <w:bCs/>
          <w:i/>
          <w:iCs/>
          <w:noProof/>
          <w:sz w:val="22"/>
          <w:szCs w:val="22"/>
          <w:lang w:val="sr-Latn-BA"/>
        </w:rPr>
        <w:t>Pregled najviše i najniže vrijednosti imovine fonda i cijene po akciji za isti obračunski period u proteklih pet godina:</w:t>
      </w:r>
    </w:p>
    <w:p w14:paraId="794C8C9E" w14:textId="77777777" w:rsidR="00055F25" w:rsidRPr="00A13C71" w:rsidRDefault="00055F25" w:rsidP="00ED4BDA">
      <w:pPr>
        <w:widowControl w:val="0"/>
        <w:autoSpaceDE w:val="0"/>
        <w:autoSpaceDN w:val="0"/>
        <w:adjustRightInd w:val="0"/>
        <w:jc w:val="both"/>
        <w:rPr>
          <w:rFonts w:ascii="Cambria" w:hAnsi="Cambria"/>
          <w:b/>
          <w:bCs/>
          <w:i/>
          <w:iCs/>
          <w:noProof/>
          <w:sz w:val="22"/>
          <w:szCs w:val="22"/>
          <w:lang w:val="sr-Latn-BA"/>
        </w:rPr>
      </w:pPr>
    </w:p>
    <w:tbl>
      <w:tblPr>
        <w:tblW w:w="10461"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2941"/>
        <w:gridCol w:w="1448"/>
        <w:gridCol w:w="1539"/>
        <w:gridCol w:w="1551"/>
        <w:gridCol w:w="1448"/>
        <w:gridCol w:w="1534"/>
      </w:tblGrid>
      <w:tr w:rsidR="00AD7F8B" w:rsidRPr="00A13C71" w14:paraId="2FFE972A" w14:textId="77777777" w:rsidTr="002A471C">
        <w:trPr>
          <w:trHeight w:val="271"/>
        </w:trPr>
        <w:tc>
          <w:tcPr>
            <w:tcW w:w="2941" w:type="dxa"/>
            <w:vMerge w:val="restart"/>
            <w:shd w:val="clear" w:color="auto" w:fill="auto"/>
            <w:vAlign w:val="center"/>
            <w:hideMark/>
          </w:tcPr>
          <w:p w14:paraId="1D9E8CFE" w14:textId="77777777" w:rsidR="00287BB1" w:rsidRPr="00A13C71" w:rsidRDefault="00287BB1">
            <w:pPr>
              <w:jc w:val="center"/>
              <w:rPr>
                <w:rFonts w:ascii="Cambria" w:hAnsi="Cambria" w:cs="Arial"/>
                <w:noProof/>
                <w:sz w:val="22"/>
                <w:szCs w:val="22"/>
                <w:lang w:val="sr-Latn-BA"/>
              </w:rPr>
            </w:pPr>
            <w:r w:rsidRPr="00A13C71">
              <w:rPr>
                <w:rFonts w:ascii="Cambria" w:hAnsi="Cambria" w:cs="Arial"/>
                <w:noProof/>
                <w:sz w:val="22"/>
                <w:szCs w:val="22"/>
                <w:lang w:val="sr-Latn-BA"/>
              </w:rPr>
              <w:t>Opis</w:t>
            </w:r>
          </w:p>
        </w:tc>
        <w:tc>
          <w:tcPr>
            <w:tcW w:w="1448" w:type="dxa"/>
            <w:vMerge w:val="restart"/>
            <w:shd w:val="clear" w:color="auto" w:fill="auto"/>
            <w:vAlign w:val="center"/>
            <w:hideMark/>
          </w:tcPr>
          <w:p w14:paraId="6693B04E" w14:textId="77777777" w:rsidR="00287BB1" w:rsidRPr="00A13C71" w:rsidRDefault="00287BB1">
            <w:pPr>
              <w:jc w:val="center"/>
              <w:rPr>
                <w:rFonts w:ascii="Cambria" w:hAnsi="Cambria" w:cs="Arial"/>
                <w:noProof/>
                <w:sz w:val="22"/>
                <w:szCs w:val="22"/>
                <w:lang w:val="sr-Latn-BA"/>
              </w:rPr>
            </w:pPr>
            <w:r w:rsidRPr="00A13C71">
              <w:rPr>
                <w:rFonts w:ascii="Cambria" w:hAnsi="Cambria" w:cs="Arial"/>
                <w:noProof/>
                <w:sz w:val="22"/>
                <w:szCs w:val="22"/>
                <w:lang w:val="sr-Latn-BA"/>
              </w:rPr>
              <w:t>Tekuća godina</w:t>
            </w:r>
          </w:p>
        </w:tc>
        <w:tc>
          <w:tcPr>
            <w:tcW w:w="1539" w:type="dxa"/>
            <w:vMerge w:val="restart"/>
            <w:shd w:val="clear" w:color="auto" w:fill="auto"/>
            <w:vAlign w:val="center"/>
            <w:hideMark/>
          </w:tcPr>
          <w:p w14:paraId="4ADF9DD7" w14:textId="77777777" w:rsidR="00287BB1" w:rsidRPr="00A13C71" w:rsidRDefault="00287BB1">
            <w:pPr>
              <w:jc w:val="center"/>
              <w:rPr>
                <w:rFonts w:ascii="Cambria" w:hAnsi="Cambria" w:cs="Arial"/>
                <w:noProof/>
                <w:sz w:val="22"/>
                <w:szCs w:val="22"/>
                <w:lang w:val="sr-Latn-BA"/>
              </w:rPr>
            </w:pPr>
            <w:r w:rsidRPr="00A13C71">
              <w:rPr>
                <w:rFonts w:ascii="Cambria" w:hAnsi="Cambria" w:cs="Arial"/>
                <w:noProof/>
                <w:sz w:val="22"/>
                <w:szCs w:val="22"/>
                <w:lang w:val="sr-Latn-BA"/>
              </w:rPr>
              <w:t>Prethodna godina</w:t>
            </w:r>
          </w:p>
        </w:tc>
        <w:tc>
          <w:tcPr>
            <w:tcW w:w="4533" w:type="dxa"/>
            <w:gridSpan w:val="3"/>
            <w:shd w:val="clear" w:color="auto" w:fill="auto"/>
            <w:vAlign w:val="bottom"/>
            <w:hideMark/>
          </w:tcPr>
          <w:p w14:paraId="7FB72475" w14:textId="77777777" w:rsidR="00287BB1" w:rsidRPr="00A13C71" w:rsidRDefault="00287BB1">
            <w:pPr>
              <w:jc w:val="center"/>
              <w:rPr>
                <w:rFonts w:ascii="Cambria" w:hAnsi="Cambria" w:cs="Arial"/>
                <w:noProof/>
                <w:sz w:val="22"/>
                <w:szCs w:val="22"/>
                <w:lang w:val="sr-Latn-BA"/>
              </w:rPr>
            </w:pPr>
            <w:r w:rsidRPr="00A13C71">
              <w:rPr>
                <w:rFonts w:ascii="Cambria" w:hAnsi="Cambria" w:cs="Arial"/>
                <w:noProof/>
                <w:sz w:val="22"/>
                <w:szCs w:val="22"/>
                <w:lang w:val="sr-Latn-BA"/>
              </w:rPr>
              <w:t>Ranije tri godine</w:t>
            </w:r>
          </w:p>
        </w:tc>
      </w:tr>
      <w:tr w:rsidR="00ED4BDA" w:rsidRPr="00A13C71" w14:paraId="7C3BA718" w14:textId="77777777" w:rsidTr="002A471C">
        <w:trPr>
          <w:trHeight w:val="271"/>
        </w:trPr>
        <w:tc>
          <w:tcPr>
            <w:tcW w:w="2941" w:type="dxa"/>
            <w:vMerge/>
            <w:vAlign w:val="center"/>
            <w:hideMark/>
          </w:tcPr>
          <w:p w14:paraId="54F9E712" w14:textId="77777777" w:rsidR="00ED4BDA" w:rsidRPr="00A13C71" w:rsidRDefault="00ED4BDA" w:rsidP="00ED4BDA">
            <w:pPr>
              <w:rPr>
                <w:rFonts w:ascii="Cambria" w:hAnsi="Cambria" w:cs="Arial"/>
                <w:noProof/>
                <w:sz w:val="22"/>
                <w:szCs w:val="22"/>
                <w:lang w:val="sr-Latn-BA"/>
              </w:rPr>
            </w:pPr>
          </w:p>
        </w:tc>
        <w:tc>
          <w:tcPr>
            <w:tcW w:w="1448" w:type="dxa"/>
            <w:vMerge/>
            <w:vAlign w:val="center"/>
            <w:hideMark/>
          </w:tcPr>
          <w:p w14:paraId="12227BF4" w14:textId="77777777" w:rsidR="00ED4BDA" w:rsidRPr="00A13C71" w:rsidRDefault="00ED4BDA" w:rsidP="00ED4BDA">
            <w:pPr>
              <w:rPr>
                <w:rFonts w:ascii="Cambria" w:hAnsi="Cambria" w:cs="Arial"/>
                <w:noProof/>
                <w:sz w:val="22"/>
                <w:szCs w:val="22"/>
                <w:lang w:val="sr-Latn-BA"/>
              </w:rPr>
            </w:pPr>
          </w:p>
        </w:tc>
        <w:tc>
          <w:tcPr>
            <w:tcW w:w="1539" w:type="dxa"/>
            <w:vMerge/>
            <w:vAlign w:val="center"/>
            <w:hideMark/>
          </w:tcPr>
          <w:p w14:paraId="4FF9EE05" w14:textId="77777777" w:rsidR="00ED4BDA" w:rsidRPr="00A13C71" w:rsidRDefault="00ED4BDA" w:rsidP="00ED4BDA">
            <w:pPr>
              <w:rPr>
                <w:rFonts w:ascii="Cambria" w:hAnsi="Cambria" w:cs="Arial"/>
                <w:noProof/>
                <w:sz w:val="22"/>
                <w:szCs w:val="22"/>
                <w:lang w:val="sr-Latn-BA"/>
              </w:rPr>
            </w:pPr>
          </w:p>
        </w:tc>
        <w:tc>
          <w:tcPr>
            <w:tcW w:w="15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2D205D" w14:textId="077A389A" w:rsidR="00ED4BDA" w:rsidRPr="00A13C71" w:rsidRDefault="00ED4BDA" w:rsidP="00ED4BDA">
            <w:pPr>
              <w:jc w:val="center"/>
              <w:rPr>
                <w:rFonts w:ascii="Cambria" w:hAnsi="Cambria" w:cs="Arial"/>
                <w:noProof/>
                <w:sz w:val="22"/>
                <w:szCs w:val="22"/>
                <w:lang w:val="sr-Latn-BA"/>
              </w:rPr>
            </w:pPr>
            <w:r w:rsidRPr="00A13C71">
              <w:rPr>
                <w:rFonts w:ascii="Cambria" w:hAnsi="Cambria" w:cs="Arial"/>
                <w:noProof/>
                <w:sz w:val="22"/>
                <w:szCs w:val="22"/>
                <w:lang w:val="sr-Latn-BA"/>
              </w:rPr>
              <w:t>202</w:t>
            </w:r>
            <w:r w:rsidR="009219FB">
              <w:rPr>
                <w:rFonts w:ascii="Cambria" w:hAnsi="Cambria" w:cs="Arial"/>
                <w:noProof/>
                <w:sz w:val="22"/>
                <w:szCs w:val="22"/>
                <w:lang w:val="sr-Latn-BA"/>
              </w:rPr>
              <w:t>1</w:t>
            </w:r>
          </w:p>
        </w:tc>
        <w:tc>
          <w:tcPr>
            <w:tcW w:w="14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3F74DD" w14:textId="66D3671F" w:rsidR="00ED4BDA" w:rsidRPr="00A13C71" w:rsidRDefault="00ED4BDA" w:rsidP="00ED4BDA">
            <w:pPr>
              <w:jc w:val="center"/>
              <w:rPr>
                <w:rFonts w:ascii="Cambria" w:hAnsi="Cambria" w:cs="Arial"/>
                <w:noProof/>
                <w:sz w:val="22"/>
                <w:szCs w:val="22"/>
                <w:lang w:val="sr-Latn-BA"/>
              </w:rPr>
            </w:pPr>
            <w:r w:rsidRPr="00A13C71">
              <w:rPr>
                <w:rFonts w:ascii="Cambria" w:hAnsi="Cambria" w:cs="Arial"/>
                <w:noProof/>
                <w:sz w:val="22"/>
                <w:szCs w:val="22"/>
                <w:lang w:val="sr-Latn-BA"/>
              </w:rPr>
              <w:t>20</w:t>
            </w:r>
            <w:r w:rsidR="009219FB">
              <w:rPr>
                <w:rFonts w:ascii="Cambria" w:hAnsi="Cambria" w:cs="Arial"/>
                <w:noProof/>
                <w:sz w:val="22"/>
                <w:szCs w:val="22"/>
                <w:lang w:val="sr-Latn-BA"/>
              </w:rPr>
              <w:t>20</w:t>
            </w:r>
          </w:p>
        </w:tc>
        <w:tc>
          <w:tcPr>
            <w:tcW w:w="1534" w:type="dxa"/>
            <w:tcBorders>
              <w:top w:val="single" w:sz="4" w:space="0" w:color="auto"/>
              <w:bottom w:val="single" w:sz="4" w:space="0" w:color="auto"/>
              <w:right w:val="single" w:sz="4" w:space="0" w:color="auto"/>
            </w:tcBorders>
            <w:shd w:val="clear" w:color="auto" w:fill="auto"/>
            <w:noWrap/>
            <w:vAlign w:val="bottom"/>
            <w:hideMark/>
          </w:tcPr>
          <w:p w14:paraId="15731D67" w14:textId="52D2E3DC" w:rsidR="00ED4BDA" w:rsidRPr="00A13C71" w:rsidRDefault="00ED4BDA" w:rsidP="00ED4BDA">
            <w:pPr>
              <w:jc w:val="center"/>
              <w:rPr>
                <w:rFonts w:ascii="Cambria" w:hAnsi="Cambria" w:cs="Arial"/>
                <w:noProof/>
                <w:sz w:val="22"/>
                <w:szCs w:val="22"/>
                <w:lang w:val="sr-Latn-BA"/>
              </w:rPr>
            </w:pPr>
            <w:r w:rsidRPr="00A13C71">
              <w:rPr>
                <w:rFonts w:ascii="Cambria" w:hAnsi="Cambria" w:cs="Arial"/>
                <w:noProof/>
                <w:sz w:val="22"/>
                <w:szCs w:val="22"/>
                <w:lang w:val="sr-Latn-BA"/>
              </w:rPr>
              <w:t>20</w:t>
            </w:r>
            <w:r w:rsidR="009219FB">
              <w:rPr>
                <w:rFonts w:ascii="Cambria" w:hAnsi="Cambria" w:cs="Arial"/>
                <w:noProof/>
                <w:sz w:val="22"/>
                <w:szCs w:val="22"/>
                <w:lang w:val="sr-Latn-BA"/>
              </w:rPr>
              <w:t>19</w:t>
            </w:r>
          </w:p>
        </w:tc>
      </w:tr>
      <w:tr w:rsidR="00ED4BDA" w:rsidRPr="00A13C71" w14:paraId="4F88A6D1" w14:textId="77777777" w:rsidTr="002A471C">
        <w:trPr>
          <w:trHeight w:val="271"/>
        </w:trPr>
        <w:tc>
          <w:tcPr>
            <w:tcW w:w="2941" w:type="dxa"/>
            <w:shd w:val="clear" w:color="auto" w:fill="auto"/>
            <w:noWrap/>
            <w:vAlign w:val="bottom"/>
            <w:hideMark/>
          </w:tcPr>
          <w:p w14:paraId="17864A25" w14:textId="77777777" w:rsidR="00ED4BDA" w:rsidRPr="00A13C71" w:rsidRDefault="00ED4BDA" w:rsidP="00ED4BDA">
            <w:pPr>
              <w:rPr>
                <w:rFonts w:ascii="Cambria" w:hAnsi="Cambria" w:cs="Arial"/>
                <w:noProof/>
                <w:sz w:val="22"/>
                <w:szCs w:val="22"/>
                <w:lang w:val="sr-Latn-BA"/>
              </w:rPr>
            </w:pPr>
            <w:r w:rsidRPr="00A13C71">
              <w:rPr>
                <w:rFonts w:ascii="Cambria" w:hAnsi="Cambria" w:cs="Arial"/>
                <w:noProof/>
                <w:sz w:val="22"/>
                <w:szCs w:val="22"/>
                <w:lang w:val="sr-Latn-BA"/>
              </w:rPr>
              <w:t>Najniža vrijednost imovine fonda</w:t>
            </w:r>
          </w:p>
        </w:tc>
        <w:tc>
          <w:tcPr>
            <w:tcW w:w="144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D71BD3" w14:textId="1FE23FF1" w:rsidR="00ED4BDA" w:rsidRPr="00A13C71" w:rsidRDefault="00ED343F" w:rsidP="00ED4BDA">
            <w:pPr>
              <w:jc w:val="right"/>
              <w:rPr>
                <w:rFonts w:ascii="Cambria" w:hAnsi="Cambria" w:cs="Arial"/>
                <w:noProof/>
                <w:sz w:val="22"/>
                <w:szCs w:val="22"/>
                <w:lang w:val="sr-Latn-BA"/>
              </w:rPr>
            </w:pPr>
            <w:r>
              <w:rPr>
                <w:rFonts w:ascii="Cambria" w:hAnsi="Cambria" w:cs="Arial"/>
                <w:noProof/>
                <w:sz w:val="22"/>
                <w:szCs w:val="22"/>
                <w:lang w:val="sr-Latn-BA"/>
              </w:rPr>
              <w:t>4.93</w:t>
            </w:r>
            <w:r w:rsidR="00006C9E">
              <w:rPr>
                <w:rFonts w:ascii="Cambria" w:hAnsi="Cambria" w:cs="Arial"/>
                <w:noProof/>
                <w:sz w:val="22"/>
                <w:szCs w:val="22"/>
                <w:lang w:val="sr-Latn-BA"/>
              </w:rPr>
              <w:t>2</w:t>
            </w:r>
            <w:r>
              <w:rPr>
                <w:rFonts w:ascii="Cambria" w:hAnsi="Cambria" w:cs="Arial"/>
                <w:noProof/>
                <w:sz w:val="22"/>
                <w:szCs w:val="22"/>
                <w:lang w:val="sr-Latn-BA"/>
              </w:rPr>
              <w:t>.</w:t>
            </w:r>
            <w:r w:rsidR="00006C9E">
              <w:rPr>
                <w:rFonts w:ascii="Cambria" w:hAnsi="Cambria" w:cs="Arial"/>
                <w:noProof/>
                <w:sz w:val="22"/>
                <w:szCs w:val="22"/>
                <w:lang w:val="sr-Latn-BA"/>
              </w:rPr>
              <w:t>2</w:t>
            </w:r>
            <w:r>
              <w:rPr>
                <w:rFonts w:ascii="Cambria" w:hAnsi="Cambria" w:cs="Arial"/>
                <w:noProof/>
                <w:sz w:val="22"/>
                <w:szCs w:val="22"/>
                <w:lang w:val="sr-Latn-BA"/>
              </w:rPr>
              <w:t>6</w:t>
            </w:r>
            <w:r w:rsidR="00006C9E">
              <w:rPr>
                <w:rFonts w:ascii="Cambria" w:hAnsi="Cambria" w:cs="Arial"/>
                <w:noProof/>
                <w:sz w:val="22"/>
                <w:szCs w:val="22"/>
                <w:lang w:val="sr-Latn-BA"/>
              </w:rPr>
              <w:t>4</w:t>
            </w:r>
            <w:r>
              <w:rPr>
                <w:rFonts w:ascii="Cambria" w:hAnsi="Cambria" w:cs="Arial"/>
                <w:noProof/>
                <w:sz w:val="22"/>
                <w:szCs w:val="22"/>
                <w:lang w:val="sr-Latn-BA"/>
              </w:rPr>
              <w:t>,</w:t>
            </w:r>
            <w:r w:rsidR="00006C9E">
              <w:rPr>
                <w:rFonts w:ascii="Cambria" w:hAnsi="Cambria" w:cs="Arial"/>
                <w:noProof/>
                <w:sz w:val="22"/>
                <w:szCs w:val="22"/>
                <w:lang w:val="sr-Latn-BA"/>
              </w:rPr>
              <w:t>10</w:t>
            </w:r>
          </w:p>
        </w:tc>
        <w:tc>
          <w:tcPr>
            <w:tcW w:w="15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5331D5" w14:textId="41BDDBC6" w:rsidR="00ED4BDA" w:rsidRPr="00A13C71" w:rsidRDefault="009219FB" w:rsidP="00ED4BDA">
            <w:pPr>
              <w:jc w:val="right"/>
              <w:rPr>
                <w:rFonts w:ascii="Cambria" w:hAnsi="Cambria" w:cs="Arial"/>
                <w:noProof/>
                <w:sz w:val="22"/>
                <w:szCs w:val="22"/>
                <w:lang w:val="sr-Latn-BA"/>
              </w:rPr>
            </w:pPr>
            <w:r>
              <w:rPr>
                <w:rFonts w:ascii="Cambria" w:hAnsi="Cambria" w:cs="Arial"/>
                <w:noProof/>
                <w:sz w:val="22"/>
                <w:szCs w:val="22"/>
                <w:lang w:val="sr-Latn-BA"/>
              </w:rPr>
              <w:t>5.</w:t>
            </w:r>
            <w:r w:rsidR="002A471C">
              <w:rPr>
                <w:rFonts w:ascii="Cambria" w:hAnsi="Cambria" w:cs="Arial"/>
                <w:noProof/>
                <w:sz w:val="22"/>
                <w:szCs w:val="22"/>
                <w:lang w:val="sr-Latn-BA"/>
              </w:rPr>
              <w:t>682</w:t>
            </w:r>
            <w:r w:rsidR="009A14E8">
              <w:rPr>
                <w:rFonts w:ascii="Cambria" w:hAnsi="Cambria" w:cs="Arial"/>
                <w:noProof/>
                <w:sz w:val="22"/>
                <w:szCs w:val="22"/>
                <w:lang w:val="sr-Latn-BA"/>
              </w:rPr>
              <w:t>.4</w:t>
            </w:r>
            <w:r w:rsidR="002A471C">
              <w:rPr>
                <w:rFonts w:ascii="Cambria" w:hAnsi="Cambria" w:cs="Arial"/>
                <w:noProof/>
                <w:sz w:val="22"/>
                <w:szCs w:val="22"/>
                <w:lang w:val="sr-Latn-BA"/>
              </w:rPr>
              <w:t>67</w:t>
            </w:r>
            <w:r w:rsidR="009A14E8">
              <w:rPr>
                <w:rFonts w:ascii="Cambria" w:hAnsi="Cambria" w:cs="Arial"/>
                <w:noProof/>
                <w:sz w:val="22"/>
                <w:szCs w:val="22"/>
                <w:lang w:val="sr-Latn-BA"/>
              </w:rPr>
              <w:t>,7</w:t>
            </w:r>
            <w:r w:rsidR="002A471C">
              <w:rPr>
                <w:rFonts w:ascii="Cambria" w:hAnsi="Cambria" w:cs="Arial"/>
                <w:noProof/>
                <w:sz w:val="22"/>
                <w:szCs w:val="22"/>
                <w:lang w:val="sr-Latn-BA"/>
              </w:rPr>
              <w:t>6</w:t>
            </w:r>
          </w:p>
        </w:tc>
        <w:tc>
          <w:tcPr>
            <w:tcW w:w="1551" w:type="dxa"/>
            <w:tcBorders>
              <w:top w:val="nil"/>
              <w:left w:val="single" w:sz="4" w:space="0" w:color="auto"/>
              <w:bottom w:val="single" w:sz="4" w:space="0" w:color="auto"/>
              <w:right w:val="single" w:sz="4" w:space="0" w:color="auto"/>
            </w:tcBorders>
            <w:shd w:val="clear" w:color="auto" w:fill="auto"/>
            <w:noWrap/>
            <w:vAlign w:val="bottom"/>
          </w:tcPr>
          <w:p w14:paraId="2AABC3D2" w14:textId="7840F394" w:rsidR="00ED4BDA" w:rsidRPr="00A13C71" w:rsidRDefault="002A471C" w:rsidP="00ED4BDA">
            <w:pPr>
              <w:jc w:val="right"/>
              <w:rPr>
                <w:rFonts w:ascii="Cambria" w:hAnsi="Cambria" w:cs="Arial"/>
                <w:noProof/>
                <w:sz w:val="22"/>
                <w:szCs w:val="22"/>
                <w:lang w:val="sr-Latn-BA"/>
              </w:rPr>
            </w:pPr>
            <w:r>
              <w:rPr>
                <w:rFonts w:ascii="Cambria" w:hAnsi="Cambria" w:cs="Arial"/>
                <w:noProof/>
                <w:sz w:val="22"/>
                <w:szCs w:val="22"/>
                <w:lang w:val="sr-Latn-BA"/>
              </w:rPr>
              <w:t>5.289.815,01</w:t>
            </w:r>
          </w:p>
        </w:tc>
        <w:tc>
          <w:tcPr>
            <w:tcW w:w="1448" w:type="dxa"/>
            <w:tcBorders>
              <w:top w:val="nil"/>
              <w:left w:val="single" w:sz="4" w:space="0" w:color="auto"/>
              <w:bottom w:val="single" w:sz="4" w:space="0" w:color="auto"/>
              <w:right w:val="single" w:sz="4" w:space="0" w:color="auto"/>
            </w:tcBorders>
            <w:shd w:val="clear" w:color="auto" w:fill="auto"/>
            <w:noWrap/>
            <w:vAlign w:val="bottom"/>
            <w:hideMark/>
          </w:tcPr>
          <w:p w14:paraId="1A842A7B" w14:textId="5CBBA3D6" w:rsidR="00ED4BDA" w:rsidRPr="00A13C71" w:rsidRDefault="009A14E8" w:rsidP="00ED4BDA">
            <w:pPr>
              <w:rPr>
                <w:rFonts w:ascii="Cambria" w:hAnsi="Cambria" w:cs="Arial"/>
                <w:noProof/>
                <w:sz w:val="22"/>
                <w:szCs w:val="22"/>
                <w:lang w:val="sr-Latn-BA"/>
              </w:rPr>
            </w:pPr>
            <w:r w:rsidRPr="009A14E8">
              <w:rPr>
                <w:rFonts w:ascii="Cambria" w:hAnsi="Cambria" w:cs="Arial"/>
                <w:noProof/>
                <w:sz w:val="22"/>
                <w:szCs w:val="22"/>
                <w:lang w:val="sr-Latn-BA"/>
              </w:rPr>
              <w:t>6.162.759,07</w:t>
            </w:r>
          </w:p>
        </w:tc>
        <w:tc>
          <w:tcPr>
            <w:tcW w:w="1534" w:type="dxa"/>
            <w:tcBorders>
              <w:top w:val="single" w:sz="4" w:space="0" w:color="auto"/>
              <w:bottom w:val="single" w:sz="4" w:space="0" w:color="auto"/>
              <w:right w:val="single" w:sz="4" w:space="0" w:color="auto"/>
            </w:tcBorders>
            <w:shd w:val="clear" w:color="auto" w:fill="auto"/>
            <w:noWrap/>
            <w:vAlign w:val="bottom"/>
            <w:hideMark/>
          </w:tcPr>
          <w:p w14:paraId="5B5E6655" w14:textId="556586ED" w:rsidR="00ED4BDA" w:rsidRPr="00A13C71" w:rsidRDefault="002A471C" w:rsidP="00ED4BDA">
            <w:pPr>
              <w:rPr>
                <w:rFonts w:ascii="Cambria" w:hAnsi="Cambria" w:cs="Arial"/>
                <w:noProof/>
                <w:sz w:val="22"/>
                <w:szCs w:val="22"/>
                <w:lang w:val="sr-Latn-BA"/>
              </w:rPr>
            </w:pPr>
            <w:r>
              <w:rPr>
                <w:rFonts w:ascii="Cambria" w:hAnsi="Cambria" w:cs="Arial"/>
                <w:noProof/>
                <w:sz w:val="22"/>
                <w:szCs w:val="22"/>
                <w:lang w:val="sr-Latn-BA"/>
              </w:rPr>
              <w:t>6.424.050,96</w:t>
            </w:r>
          </w:p>
        </w:tc>
      </w:tr>
      <w:tr w:rsidR="00ED4BDA" w:rsidRPr="00A13C71" w14:paraId="14B7222A" w14:textId="77777777" w:rsidTr="002A471C">
        <w:trPr>
          <w:trHeight w:val="271"/>
        </w:trPr>
        <w:tc>
          <w:tcPr>
            <w:tcW w:w="2941" w:type="dxa"/>
            <w:shd w:val="clear" w:color="auto" w:fill="auto"/>
            <w:noWrap/>
            <w:vAlign w:val="bottom"/>
            <w:hideMark/>
          </w:tcPr>
          <w:p w14:paraId="487474E5" w14:textId="77777777" w:rsidR="00ED4BDA" w:rsidRPr="00A13C71" w:rsidRDefault="00ED4BDA" w:rsidP="00ED4BDA">
            <w:pPr>
              <w:rPr>
                <w:rFonts w:ascii="Cambria" w:hAnsi="Cambria" w:cs="Arial"/>
                <w:noProof/>
                <w:sz w:val="22"/>
                <w:szCs w:val="22"/>
                <w:lang w:val="sr-Latn-BA"/>
              </w:rPr>
            </w:pPr>
            <w:r w:rsidRPr="00A13C71">
              <w:rPr>
                <w:rFonts w:ascii="Cambria" w:hAnsi="Cambria" w:cs="Arial"/>
                <w:noProof/>
                <w:sz w:val="22"/>
                <w:szCs w:val="22"/>
                <w:lang w:val="sr-Latn-BA"/>
              </w:rPr>
              <w:t>Najviša vrijednost imovine fonda</w:t>
            </w:r>
          </w:p>
        </w:tc>
        <w:tc>
          <w:tcPr>
            <w:tcW w:w="1448" w:type="dxa"/>
            <w:tcBorders>
              <w:top w:val="nil"/>
              <w:left w:val="single" w:sz="4" w:space="0" w:color="auto"/>
              <w:bottom w:val="single" w:sz="4" w:space="0" w:color="auto"/>
              <w:right w:val="single" w:sz="4" w:space="0" w:color="auto"/>
            </w:tcBorders>
            <w:shd w:val="clear" w:color="auto" w:fill="auto"/>
            <w:noWrap/>
            <w:vAlign w:val="bottom"/>
          </w:tcPr>
          <w:p w14:paraId="36B54E48" w14:textId="729F063F" w:rsidR="00ED4BDA" w:rsidRPr="00A13C71" w:rsidRDefault="002A471C" w:rsidP="00ED4BDA">
            <w:pPr>
              <w:jc w:val="right"/>
              <w:rPr>
                <w:rFonts w:ascii="Cambria" w:hAnsi="Cambria" w:cs="Arial"/>
                <w:noProof/>
                <w:sz w:val="22"/>
                <w:szCs w:val="22"/>
                <w:lang w:val="sr-Latn-BA"/>
              </w:rPr>
            </w:pPr>
            <w:r>
              <w:rPr>
                <w:rFonts w:ascii="Cambria" w:hAnsi="Cambria" w:cs="Arial"/>
                <w:noProof/>
                <w:sz w:val="22"/>
                <w:szCs w:val="22"/>
                <w:lang w:val="sr-Latn-BA"/>
              </w:rPr>
              <w:t>6.233.238,48</w:t>
            </w:r>
          </w:p>
        </w:tc>
        <w:tc>
          <w:tcPr>
            <w:tcW w:w="1539" w:type="dxa"/>
            <w:tcBorders>
              <w:top w:val="nil"/>
              <w:left w:val="single" w:sz="4" w:space="0" w:color="auto"/>
              <w:bottom w:val="single" w:sz="4" w:space="0" w:color="auto"/>
              <w:right w:val="single" w:sz="4" w:space="0" w:color="auto"/>
            </w:tcBorders>
            <w:shd w:val="clear" w:color="auto" w:fill="auto"/>
            <w:noWrap/>
            <w:vAlign w:val="bottom"/>
          </w:tcPr>
          <w:p w14:paraId="6488F8DF" w14:textId="3C44F1BD" w:rsidR="00ED4BDA" w:rsidRPr="00A13C71" w:rsidRDefault="009A14E8" w:rsidP="00ED4BDA">
            <w:pPr>
              <w:jc w:val="right"/>
              <w:rPr>
                <w:rFonts w:ascii="Cambria" w:hAnsi="Cambria" w:cs="Arial"/>
                <w:noProof/>
                <w:sz w:val="22"/>
                <w:szCs w:val="22"/>
                <w:lang w:val="sr-Latn-BA"/>
              </w:rPr>
            </w:pPr>
            <w:r>
              <w:rPr>
                <w:rFonts w:ascii="Cambria" w:hAnsi="Cambria" w:cs="Arial"/>
                <w:noProof/>
                <w:sz w:val="22"/>
                <w:szCs w:val="22"/>
                <w:lang w:val="sr-Latn-BA"/>
              </w:rPr>
              <w:t>6.500.706,94</w:t>
            </w:r>
          </w:p>
        </w:tc>
        <w:tc>
          <w:tcPr>
            <w:tcW w:w="1551" w:type="dxa"/>
            <w:tcBorders>
              <w:top w:val="nil"/>
              <w:left w:val="single" w:sz="4" w:space="0" w:color="auto"/>
              <w:bottom w:val="single" w:sz="4" w:space="0" w:color="auto"/>
              <w:right w:val="single" w:sz="4" w:space="0" w:color="auto"/>
            </w:tcBorders>
            <w:shd w:val="clear" w:color="auto" w:fill="auto"/>
            <w:noWrap/>
            <w:vAlign w:val="bottom"/>
          </w:tcPr>
          <w:p w14:paraId="75C05F3F" w14:textId="1A7AF902" w:rsidR="00ED4BDA" w:rsidRPr="00A13C71" w:rsidRDefault="00ED4BDA" w:rsidP="00ED4BDA">
            <w:pPr>
              <w:jc w:val="right"/>
              <w:rPr>
                <w:rFonts w:ascii="Cambria" w:hAnsi="Cambria" w:cs="Arial"/>
                <w:noProof/>
                <w:sz w:val="22"/>
                <w:szCs w:val="22"/>
                <w:lang w:val="sr-Latn-BA"/>
              </w:rPr>
            </w:pPr>
            <w:r w:rsidRPr="00A13C71">
              <w:rPr>
                <w:rFonts w:ascii="Cambria" w:hAnsi="Cambria" w:cs="Arial"/>
                <w:noProof/>
                <w:sz w:val="22"/>
                <w:szCs w:val="22"/>
                <w:lang w:val="sr-Latn-BA"/>
              </w:rPr>
              <w:t>6.</w:t>
            </w:r>
            <w:r w:rsidR="002A471C">
              <w:rPr>
                <w:rFonts w:ascii="Cambria" w:hAnsi="Cambria" w:cs="Arial"/>
                <w:noProof/>
                <w:sz w:val="22"/>
                <w:szCs w:val="22"/>
                <w:lang w:val="sr-Latn-BA"/>
              </w:rPr>
              <w:t>196</w:t>
            </w:r>
            <w:r w:rsidRPr="00A13C71">
              <w:rPr>
                <w:rFonts w:ascii="Cambria" w:hAnsi="Cambria" w:cs="Arial"/>
                <w:noProof/>
                <w:sz w:val="22"/>
                <w:szCs w:val="22"/>
                <w:lang w:val="sr-Latn-BA"/>
              </w:rPr>
              <w:t>.</w:t>
            </w:r>
            <w:r w:rsidR="002A471C">
              <w:rPr>
                <w:rFonts w:ascii="Cambria" w:hAnsi="Cambria" w:cs="Arial"/>
                <w:noProof/>
                <w:sz w:val="22"/>
                <w:szCs w:val="22"/>
                <w:lang w:val="sr-Latn-BA"/>
              </w:rPr>
              <w:t>959</w:t>
            </w:r>
            <w:r w:rsidRPr="00A13C71">
              <w:rPr>
                <w:rFonts w:ascii="Cambria" w:hAnsi="Cambria" w:cs="Arial"/>
                <w:noProof/>
                <w:sz w:val="22"/>
                <w:szCs w:val="22"/>
                <w:lang w:val="sr-Latn-BA"/>
              </w:rPr>
              <w:t>,</w:t>
            </w:r>
            <w:r w:rsidR="002A471C">
              <w:rPr>
                <w:rFonts w:ascii="Cambria" w:hAnsi="Cambria" w:cs="Arial"/>
                <w:noProof/>
                <w:sz w:val="22"/>
                <w:szCs w:val="22"/>
                <w:lang w:val="sr-Latn-BA"/>
              </w:rPr>
              <w:t>59</w:t>
            </w:r>
          </w:p>
        </w:tc>
        <w:tc>
          <w:tcPr>
            <w:tcW w:w="1448" w:type="dxa"/>
            <w:tcBorders>
              <w:top w:val="nil"/>
              <w:left w:val="single" w:sz="4" w:space="0" w:color="auto"/>
              <w:bottom w:val="single" w:sz="4" w:space="0" w:color="auto"/>
              <w:right w:val="single" w:sz="4" w:space="0" w:color="auto"/>
            </w:tcBorders>
            <w:shd w:val="clear" w:color="auto" w:fill="auto"/>
            <w:noWrap/>
            <w:vAlign w:val="bottom"/>
            <w:hideMark/>
          </w:tcPr>
          <w:p w14:paraId="7012E4BA" w14:textId="008A9BAE" w:rsidR="00ED4BDA" w:rsidRPr="00A13C71" w:rsidRDefault="009A14E8" w:rsidP="00ED4BDA">
            <w:pPr>
              <w:rPr>
                <w:rFonts w:ascii="Cambria" w:hAnsi="Cambria" w:cs="Arial"/>
                <w:noProof/>
                <w:sz w:val="22"/>
                <w:szCs w:val="22"/>
                <w:lang w:val="sr-Latn-BA"/>
              </w:rPr>
            </w:pPr>
            <w:r w:rsidRPr="009A14E8">
              <w:rPr>
                <w:rFonts w:ascii="Cambria" w:hAnsi="Cambria" w:cs="Arial"/>
                <w:noProof/>
                <w:sz w:val="22"/>
                <w:szCs w:val="22"/>
                <w:lang w:val="sr-Latn-BA"/>
              </w:rPr>
              <w:t>6.959.155,42</w:t>
            </w:r>
          </w:p>
        </w:tc>
        <w:tc>
          <w:tcPr>
            <w:tcW w:w="1534" w:type="dxa"/>
            <w:tcBorders>
              <w:top w:val="single" w:sz="4" w:space="0" w:color="auto"/>
              <w:bottom w:val="single" w:sz="4" w:space="0" w:color="auto"/>
              <w:right w:val="single" w:sz="4" w:space="0" w:color="auto"/>
            </w:tcBorders>
            <w:shd w:val="clear" w:color="auto" w:fill="auto"/>
            <w:noWrap/>
            <w:vAlign w:val="bottom"/>
            <w:hideMark/>
          </w:tcPr>
          <w:p w14:paraId="1FDDA2B1" w14:textId="7949F113" w:rsidR="00ED4BDA" w:rsidRPr="00A13C71" w:rsidRDefault="009A14E8" w:rsidP="00ED4BDA">
            <w:pPr>
              <w:rPr>
                <w:rFonts w:ascii="Cambria" w:hAnsi="Cambria" w:cs="Arial"/>
                <w:noProof/>
                <w:color w:val="FF0000"/>
                <w:sz w:val="22"/>
                <w:szCs w:val="22"/>
                <w:lang w:val="sr-Latn-BA"/>
              </w:rPr>
            </w:pPr>
            <w:r>
              <w:rPr>
                <w:rFonts w:ascii="Cambria" w:hAnsi="Cambria" w:cs="Arial"/>
                <w:noProof/>
                <w:sz w:val="22"/>
                <w:szCs w:val="22"/>
                <w:lang w:val="sr-Latn-BA"/>
              </w:rPr>
              <w:t>9.</w:t>
            </w:r>
            <w:r w:rsidR="002A471C">
              <w:rPr>
                <w:rFonts w:ascii="Cambria" w:hAnsi="Cambria" w:cs="Arial"/>
                <w:noProof/>
                <w:sz w:val="22"/>
                <w:szCs w:val="22"/>
                <w:lang w:val="sr-Latn-BA"/>
              </w:rPr>
              <w:t>557</w:t>
            </w:r>
            <w:r>
              <w:rPr>
                <w:rFonts w:ascii="Cambria" w:hAnsi="Cambria" w:cs="Arial"/>
                <w:noProof/>
                <w:sz w:val="22"/>
                <w:szCs w:val="22"/>
                <w:lang w:val="sr-Latn-BA"/>
              </w:rPr>
              <w:t>.</w:t>
            </w:r>
            <w:r w:rsidR="002A471C">
              <w:rPr>
                <w:rFonts w:ascii="Cambria" w:hAnsi="Cambria" w:cs="Arial"/>
                <w:noProof/>
                <w:sz w:val="22"/>
                <w:szCs w:val="22"/>
                <w:lang w:val="sr-Latn-BA"/>
              </w:rPr>
              <w:t>546</w:t>
            </w:r>
            <w:r>
              <w:rPr>
                <w:rFonts w:ascii="Cambria" w:hAnsi="Cambria" w:cs="Arial"/>
                <w:noProof/>
                <w:sz w:val="22"/>
                <w:szCs w:val="22"/>
                <w:lang w:val="sr-Latn-BA"/>
              </w:rPr>
              <w:t>,</w:t>
            </w:r>
            <w:r w:rsidR="002A471C">
              <w:rPr>
                <w:rFonts w:ascii="Cambria" w:hAnsi="Cambria" w:cs="Arial"/>
                <w:noProof/>
                <w:sz w:val="22"/>
                <w:szCs w:val="22"/>
                <w:lang w:val="sr-Latn-BA"/>
              </w:rPr>
              <w:t>86</w:t>
            </w:r>
          </w:p>
        </w:tc>
      </w:tr>
      <w:tr w:rsidR="00ED4BDA" w:rsidRPr="00A13C71" w14:paraId="1A50E6F8" w14:textId="77777777" w:rsidTr="002A471C">
        <w:trPr>
          <w:trHeight w:val="271"/>
        </w:trPr>
        <w:tc>
          <w:tcPr>
            <w:tcW w:w="2941" w:type="dxa"/>
            <w:shd w:val="clear" w:color="auto" w:fill="auto"/>
            <w:noWrap/>
            <w:vAlign w:val="bottom"/>
            <w:hideMark/>
          </w:tcPr>
          <w:p w14:paraId="50A67222" w14:textId="77777777" w:rsidR="00ED4BDA" w:rsidRPr="00A13C71" w:rsidRDefault="00ED4BDA" w:rsidP="00ED4BDA">
            <w:pPr>
              <w:rPr>
                <w:rFonts w:ascii="Cambria" w:hAnsi="Cambria" w:cs="Arial"/>
                <w:noProof/>
                <w:sz w:val="22"/>
                <w:szCs w:val="22"/>
                <w:lang w:val="sr-Latn-BA"/>
              </w:rPr>
            </w:pPr>
            <w:r w:rsidRPr="00A13C71">
              <w:rPr>
                <w:rFonts w:ascii="Cambria" w:hAnsi="Cambria" w:cs="Arial"/>
                <w:noProof/>
                <w:sz w:val="22"/>
                <w:szCs w:val="22"/>
                <w:lang w:val="sr-Latn-BA"/>
              </w:rPr>
              <w:t>Najniža cijena po akciji / udjelu</w:t>
            </w:r>
          </w:p>
        </w:tc>
        <w:tc>
          <w:tcPr>
            <w:tcW w:w="1448" w:type="dxa"/>
            <w:tcBorders>
              <w:top w:val="nil"/>
              <w:left w:val="single" w:sz="4" w:space="0" w:color="auto"/>
              <w:bottom w:val="single" w:sz="4" w:space="0" w:color="auto"/>
              <w:right w:val="single" w:sz="4" w:space="0" w:color="auto"/>
            </w:tcBorders>
            <w:shd w:val="clear" w:color="auto" w:fill="auto"/>
            <w:noWrap/>
            <w:vAlign w:val="bottom"/>
          </w:tcPr>
          <w:p w14:paraId="1C756A21" w14:textId="5109B345" w:rsidR="00ED4BDA" w:rsidRPr="00A13C71" w:rsidRDefault="00ED343F" w:rsidP="00ED4BDA">
            <w:pPr>
              <w:jc w:val="right"/>
              <w:rPr>
                <w:rFonts w:ascii="Cambria" w:hAnsi="Cambria" w:cs="Arial"/>
                <w:noProof/>
                <w:sz w:val="22"/>
                <w:szCs w:val="22"/>
                <w:lang w:val="sr-Latn-BA"/>
              </w:rPr>
            </w:pPr>
            <w:r>
              <w:rPr>
                <w:rFonts w:ascii="Cambria" w:hAnsi="Cambria" w:cs="Arial"/>
                <w:noProof/>
                <w:sz w:val="22"/>
                <w:szCs w:val="22"/>
                <w:lang w:val="sr-Latn-BA"/>
              </w:rPr>
              <w:t>6,7</w:t>
            </w:r>
            <w:r w:rsidR="00006C9E">
              <w:rPr>
                <w:rFonts w:ascii="Cambria" w:hAnsi="Cambria" w:cs="Arial"/>
                <w:noProof/>
                <w:sz w:val="22"/>
                <w:szCs w:val="22"/>
                <w:lang w:val="sr-Latn-BA"/>
              </w:rPr>
              <w:t>7</w:t>
            </w:r>
          </w:p>
        </w:tc>
        <w:tc>
          <w:tcPr>
            <w:tcW w:w="1539" w:type="dxa"/>
            <w:tcBorders>
              <w:top w:val="nil"/>
              <w:left w:val="single" w:sz="4" w:space="0" w:color="auto"/>
              <w:bottom w:val="single" w:sz="4" w:space="0" w:color="auto"/>
              <w:right w:val="single" w:sz="4" w:space="0" w:color="auto"/>
            </w:tcBorders>
            <w:shd w:val="clear" w:color="auto" w:fill="auto"/>
            <w:noWrap/>
            <w:vAlign w:val="bottom"/>
          </w:tcPr>
          <w:p w14:paraId="5F753D6B" w14:textId="75712E60" w:rsidR="00ED4BDA" w:rsidRPr="00A13C71" w:rsidRDefault="009219FB" w:rsidP="00ED4BDA">
            <w:pPr>
              <w:jc w:val="right"/>
              <w:rPr>
                <w:rFonts w:ascii="Cambria" w:hAnsi="Cambria" w:cs="Arial"/>
                <w:noProof/>
                <w:sz w:val="22"/>
                <w:szCs w:val="22"/>
                <w:lang w:val="sr-Latn-BA"/>
              </w:rPr>
            </w:pPr>
            <w:r>
              <w:rPr>
                <w:rFonts w:ascii="Cambria" w:hAnsi="Cambria" w:cs="Arial"/>
                <w:noProof/>
                <w:sz w:val="22"/>
                <w:szCs w:val="22"/>
                <w:lang w:val="sr-Latn-BA"/>
              </w:rPr>
              <w:t>7,</w:t>
            </w:r>
            <w:r w:rsidR="002A471C">
              <w:rPr>
                <w:rFonts w:ascii="Cambria" w:hAnsi="Cambria" w:cs="Arial"/>
                <w:noProof/>
                <w:sz w:val="22"/>
                <w:szCs w:val="22"/>
                <w:lang w:val="sr-Latn-BA"/>
              </w:rPr>
              <w:t>7</w:t>
            </w:r>
            <w:r>
              <w:rPr>
                <w:rFonts w:ascii="Cambria" w:hAnsi="Cambria" w:cs="Arial"/>
                <w:noProof/>
                <w:sz w:val="22"/>
                <w:szCs w:val="22"/>
                <w:lang w:val="sr-Latn-BA"/>
              </w:rPr>
              <w:t>2</w:t>
            </w:r>
          </w:p>
        </w:tc>
        <w:tc>
          <w:tcPr>
            <w:tcW w:w="1551" w:type="dxa"/>
            <w:tcBorders>
              <w:top w:val="nil"/>
              <w:left w:val="single" w:sz="4" w:space="0" w:color="auto"/>
              <w:bottom w:val="single" w:sz="4" w:space="0" w:color="auto"/>
              <w:right w:val="single" w:sz="4" w:space="0" w:color="auto"/>
            </w:tcBorders>
            <w:shd w:val="clear" w:color="auto" w:fill="auto"/>
            <w:noWrap/>
            <w:vAlign w:val="bottom"/>
            <w:hideMark/>
          </w:tcPr>
          <w:p w14:paraId="2FC20C03" w14:textId="3C5D6D74" w:rsidR="00ED4BDA" w:rsidRPr="00A13C71" w:rsidRDefault="00ED4BDA" w:rsidP="00ED4BDA">
            <w:pPr>
              <w:jc w:val="right"/>
              <w:rPr>
                <w:rFonts w:ascii="Cambria" w:hAnsi="Cambria" w:cs="Arial"/>
                <w:noProof/>
                <w:sz w:val="22"/>
                <w:szCs w:val="22"/>
                <w:lang w:val="sr-Latn-BA"/>
              </w:rPr>
            </w:pPr>
            <w:r w:rsidRPr="00A13C71">
              <w:rPr>
                <w:rFonts w:ascii="Cambria" w:hAnsi="Cambria" w:cs="Arial"/>
                <w:noProof/>
                <w:sz w:val="22"/>
                <w:szCs w:val="22"/>
                <w:lang w:val="sr-Latn-BA"/>
              </w:rPr>
              <w:t>5,3</w:t>
            </w:r>
            <w:r w:rsidR="002A471C">
              <w:rPr>
                <w:rFonts w:ascii="Cambria" w:hAnsi="Cambria" w:cs="Arial"/>
                <w:noProof/>
                <w:sz w:val="22"/>
                <w:szCs w:val="22"/>
                <w:lang w:val="sr-Latn-BA"/>
              </w:rPr>
              <w:t>1</w:t>
            </w:r>
          </w:p>
        </w:tc>
        <w:tc>
          <w:tcPr>
            <w:tcW w:w="1448" w:type="dxa"/>
            <w:tcBorders>
              <w:top w:val="nil"/>
              <w:left w:val="single" w:sz="4" w:space="0" w:color="auto"/>
              <w:bottom w:val="single" w:sz="4" w:space="0" w:color="auto"/>
              <w:right w:val="single" w:sz="4" w:space="0" w:color="auto"/>
            </w:tcBorders>
            <w:shd w:val="clear" w:color="auto" w:fill="auto"/>
            <w:noWrap/>
            <w:vAlign w:val="bottom"/>
            <w:hideMark/>
          </w:tcPr>
          <w:p w14:paraId="42539646" w14:textId="0D559A8B" w:rsidR="00ED4BDA" w:rsidRPr="00A13C71" w:rsidRDefault="009A14E8" w:rsidP="00586C48">
            <w:pPr>
              <w:jc w:val="right"/>
              <w:rPr>
                <w:rFonts w:ascii="Cambria" w:hAnsi="Cambria" w:cs="Arial"/>
                <w:noProof/>
                <w:sz w:val="22"/>
                <w:szCs w:val="22"/>
                <w:lang w:val="sr-Latn-BA"/>
              </w:rPr>
            </w:pPr>
            <w:r>
              <w:rPr>
                <w:rFonts w:ascii="Cambria" w:hAnsi="Cambria" w:cs="Arial"/>
                <w:noProof/>
                <w:sz w:val="22"/>
                <w:szCs w:val="22"/>
                <w:lang w:val="sr-Latn-BA"/>
              </w:rPr>
              <w:t>5,37</w:t>
            </w:r>
          </w:p>
        </w:tc>
        <w:tc>
          <w:tcPr>
            <w:tcW w:w="1534" w:type="dxa"/>
            <w:tcBorders>
              <w:top w:val="single" w:sz="4" w:space="0" w:color="auto"/>
              <w:bottom w:val="single" w:sz="4" w:space="0" w:color="auto"/>
              <w:right w:val="single" w:sz="4" w:space="0" w:color="auto"/>
            </w:tcBorders>
            <w:shd w:val="clear" w:color="auto" w:fill="auto"/>
            <w:noWrap/>
            <w:vAlign w:val="bottom"/>
            <w:hideMark/>
          </w:tcPr>
          <w:p w14:paraId="1BB8C456" w14:textId="77E9CA2A" w:rsidR="00ED4BDA" w:rsidRPr="00A13C71" w:rsidRDefault="00ED4BDA" w:rsidP="00586C48">
            <w:pPr>
              <w:jc w:val="right"/>
              <w:rPr>
                <w:rFonts w:ascii="Cambria" w:hAnsi="Cambria" w:cs="Arial"/>
                <w:noProof/>
                <w:sz w:val="22"/>
                <w:szCs w:val="22"/>
                <w:lang w:val="sr-Latn-BA"/>
              </w:rPr>
            </w:pPr>
            <w:r w:rsidRPr="00A13C71">
              <w:rPr>
                <w:rFonts w:ascii="Cambria" w:hAnsi="Cambria" w:cs="Arial"/>
                <w:noProof/>
                <w:sz w:val="22"/>
                <w:szCs w:val="22"/>
                <w:lang w:val="sr-Latn-BA"/>
              </w:rPr>
              <w:t> </w:t>
            </w:r>
            <w:r w:rsidR="009A14E8">
              <w:rPr>
                <w:rFonts w:ascii="Cambria" w:hAnsi="Cambria" w:cs="Arial"/>
                <w:noProof/>
                <w:sz w:val="22"/>
                <w:szCs w:val="22"/>
                <w:lang w:val="sr-Latn-BA"/>
              </w:rPr>
              <w:t>4,89</w:t>
            </w:r>
          </w:p>
        </w:tc>
      </w:tr>
      <w:tr w:rsidR="00ED4BDA" w:rsidRPr="00A13C71" w14:paraId="4F353E82" w14:textId="77777777" w:rsidTr="002A471C">
        <w:trPr>
          <w:trHeight w:val="271"/>
        </w:trPr>
        <w:tc>
          <w:tcPr>
            <w:tcW w:w="2941" w:type="dxa"/>
            <w:shd w:val="clear" w:color="auto" w:fill="auto"/>
            <w:noWrap/>
            <w:vAlign w:val="bottom"/>
            <w:hideMark/>
          </w:tcPr>
          <w:p w14:paraId="2CB975C3" w14:textId="77777777" w:rsidR="00ED4BDA" w:rsidRPr="00A13C71" w:rsidRDefault="00ED4BDA" w:rsidP="00ED4BDA">
            <w:pPr>
              <w:rPr>
                <w:rFonts w:ascii="Cambria" w:hAnsi="Cambria" w:cs="Arial"/>
                <w:noProof/>
                <w:sz w:val="22"/>
                <w:szCs w:val="22"/>
                <w:lang w:val="sr-Latn-BA"/>
              </w:rPr>
            </w:pPr>
            <w:r w:rsidRPr="00A13C71">
              <w:rPr>
                <w:rFonts w:ascii="Cambria" w:hAnsi="Cambria" w:cs="Arial"/>
                <w:noProof/>
                <w:sz w:val="22"/>
                <w:szCs w:val="22"/>
                <w:lang w:val="sr-Latn-BA"/>
              </w:rPr>
              <w:t>Najviša cijena po akciji / udjelu</w:t>
            </w:r>
          </w:p>
        </w:tc>
        <w:tc>
          <w:tcPr>
            <w:tcW w:w="1448" w:type="dxa"/>
            <w:tcBorders>
              <w:top w:val="nil"/>
              <w:left w:val="single" w:sz="4" w:space="0" w:color="auto"/>
              <w:bottom w:val="single" w:sz="4" w:space="0" w:color="auto"/>
              <w:right w:val="single" w:sz="4" w:space="0" w:color="auto"/>
            </w:tcBorders>
            <w:shd w:val="clear" w:color="auto" w:fill="auto"/>
            <w:noWrap/>
            <w:vAlign w:val="bottom"/>
          </w:tcPr>
          <w:p w14:paraId="61E7801F" w14:textId="5E6954B5" w:rsidR="00ED4BDA" w:rsidRPr="00A13C71" w:rsidRDefault="009219FB" w:rsidP="00ED4BDA">
            <w:pPr>
              <w:jc w:val="right"/>
              <w:rPr>
                <w:rFonts w:ascii="Cambria" w:hAnsi="Cambria" w:cs="Arial"/>
                <w:noProof/>
                <w:sz w:val="22"/>
                <w:szCs w:val="22"/>
                <w:lang w:val="sr-Latn-BA"/>
              </w:rPr>
            </w:pPr>
            <w:r>
              <w:rPr>
                <w:rFonts w:ascii="Cambria" w:hAnsi="Cambria" w:cs="Arial"/>
                <w:noProof/>
                <w:sz w:val="22"/>
                <w:szCs w:val="22"/>
                <w:lang w:val="sr-Latn-BA"/>
              </w:rPr>
              <w:t>8,</w:t>
            </w:r>
            <w:r w:rsidR="002A471C">
              <w:rPr>
                <w:rFonts w:ascii="Cambria" w:hAnsi="Cambria" w:cs="Arial"/>
                <w:noProof/>
                <w:sz w:val="22"/>
                <w:szCs w:val="22"/>
                <w:lang w:val="sr-Latn-BA"/>
              </w:rPr>
              <w:t>53</w:t>
            </w:r>
          </w:p>
        </w:tc>
        <w:tc>
          <w:tcPr>
            <w:tcW w:w="1539" w:type="dxa"/>
            <w:tcBorders>
              <w:top w:val="nil"/>
              <w:left w:val="single" w:sz="4" w:space="0" w:color="auto"/>
              <w:bottom w:val="single" w:sz="4" w:space="0" w:color="auto"/>
              <w:right w:val="single" w:sz="4" w:space="0" w:color="auto"/>
            </w:tcBorders>
            <w:shd w:val="clear" w:color="auto" w:fill="auto"/>
            <w:noWrap/>
            <w:vAlign w:val="bottom"/>
          </w:tcPr>
          <w:p w14:paraId="092B0DA4" w14:textId="6AB2DDB3" w:rsidR="00ED4BDA" w:rsidRPr="00A13C71" w:rsidRDefault="009219FB" w:rsidP="00ED4BDA">
            <w:pPr>
              <w:jc w:val="right"/>
              <w:rPr>
                <w:rFonts w:ascii="Cambria" w:hAnsi="Cambria" w:cs="Arial"/>
                <w:noProof/>
                <w:sz w:val="22"/>
                <w:szCs w:val="22"/>
                <w:lang w:val="sr-Latn-BA"/>
              </w:rPr>
            </w:pPr>
            <w:r>
              <w:rPr>
                <w:rFonts w:ascii="Cambria" w:hAnsi="Cambria" w:cs="Arial"/>
                <w:noProof/>
                <w:sz w:val="22"/>
                <w:szCs w:val="22"/>
                <w:lang w:val="sr-Latn-BA"/>
              </w:rPr>
              <w:t>8,15</w:t>
            </w:r>
          </w:p>
        </w:tc>
        <w:tc>
          <w:tcPr>
            <w:tcW w:w="1551" w:type="dxa"/>
            <w:tcBorders>
              <w:top w:val="nil"/>
              <w:left w:val="single" w:sz="4" w:space="0" w:color="auto"/>
              <w:bottom w:val="single" w:sz="4" w:space="0" w:color="auto"/>
              <w:right w:val="single" w:sz="4" w:space="0" w:color="auto"/>
            </w:tcBorders>
            <w:shd w:val="clear" w:color="auto" w:fill="auto"/>
            <w:noWrap/>
            <w:vAlign w:val="bottom"/>
            <w:hideMark/>
          </w:tcPr>
          <w:p w14:paraId="53B70107" w14:textId="70384F73" w:rsidR="00ED4BDA" w:rsidRPr="00A13C71" w:rsidRDefault="009A14E8" w:rsidP="00ED4BDA">
            <w:pPr>
              <w:jc w:val="right"/>
              <w:rPr>
                <w:rFonts w:ascii="Cambria" w:hAnsi="Cambria" w:cs="Arial"/>
                <w:noProof/>
                <w:sz w:val="22"/>
                <w:szCs w:val="22"/>
                <w:lang w:val="sr-Latn-BA"/>
              </w:rPr>
            </w:pPr>
            <w:r>
              <w:rPr>
                <w:rFonts w:ascii="Cambria" w:hAnsi="Cambria" w:cs="Arial"/>
                <w:noProof/>
                <w:sz w:val="22"/>
                <w:szCs w:val="22"/>
                <w:lang w:val="sr-Latn-BA"/>
              </w:rPr>
              <w:t>5,57</w:t>
            </w:r>
          </w:p>
        </w:tc>
        <w:tc>
          <w:tcPr>
            <w:tcW w:w="1448" w:type="dxa"/>
            <w:tcBorders>
              <w:top w:val="nil"/>
              <w:left w:val="single" w:sz="4" w:space="0" w:color="auto"/>
              <w:bottom w:val="single" w:sz="4" w:space="0" w:color="auto"/>
              <w:right w:val="single" w:sz="4" w:space="0" w:color="auto"/>
            </w:tcBorders>
            <w:shd w:val="clear" w:color="auto" w:fill="auto"/>
            <w:noWrap/>
            <w:vAlign w:val="bottom"/>
            <w:hideMark/>
          </w:tcPr>
          <w:p w14:paraId="2EAF4914" w14:textId="5A4CECAA" w:rsidR="00ED4BDA" w:rsidRPr="00A13C71" w:rsidRDefault="009A14E8" w:rsidP="00586C48">
            <w:pPr>
              <w:jc w:val="right"/>
              <w:rPr>
                <w:rFonts w:ascii="Cambria" w:hAnsi="Cambria" w:cs="Arial"/>
                <w:noProof/>
                <w:sz w:val="22"/>
                <w:szCs w:val="22"/>
                <w:lang w:val="sr-Latn-BA"/>
              </w:rPr>
            </w:pPr>
            <w:r>
              <w:rPr>
                <w:rFonts w:ascii="Cambria" w:hAnsi="Cambria" w:cs="Arial"/>
                <w:noProof/>
                <w:sz w:val="22"/>
                <w:szCs w:val="22"/>
                <w:lang w:val="sr-Latn-BA"/>
              </w:rPr>
              <w:t>6,06</w:t>
            </w:r>
          </w:p>
        </w:tc>
        <w:tc>
          <w:tcPr>
            <w:tcW w:w="1534" w:type="dxa"/>
            <w:tcBorders>
              <w:top w:val="single" w:sz="4" w:space="0" w:color="auto"/>
              <w:bottom w:val="single" w:sz="4" w:space="0" w:color="auto"/>
              <w:right w:val="single" w:sz="4" w:space="0" w:color="auto"/>
            </w:tcBorders>
            <w:shd w:val="clear" w:color="auto" w:fill="auto"/>
            <w:noWrap/>
            <w:vAlign w:val="bottom"/>
            <w:hideMark/>
          </w:tcPr>
          <w:p w14:paraId="15934E73" w14:textId="719CA285" w:rsidR="00ED4BDA" w:rsidRPr="00A13C71" w:rsidRDefault="002A471C" w:rsidP="00586C48">
            <w:pPr>
              <w:jc w:val="right"/>
              <w:rPr>
                <w:rFonts w:ascii="Cambria" w:hAnsi="Cambria" w:cs="Arial"/>
                <w:noProof/>
                <w:sz w:val="22"/>
                <w:szCs w:val="22"/>
                <w:lang w:val="sr-Latn-BA"/>
              </w:rPr>
            </w:pPr>
            <w:r>
              <w:rPr>
                <w:rFonts w:ascii="Cambria" w:hAnsi="Cambria" w:cs="Arial"/>
                <w:noProof/>
                <w:sz w:val="22"/>
                <w:szCs w:val="22"/>
                <w:lang w:val="sr-Latn-BA"/>
              </w:rPr>
              <w:t>6,11</w:t>
            </w:r>
          </w:p>
        </w:tc>
      </w:tr>
      <w:tr w:rsidR="00ED4BDA" w:rsidRPr="00A13C71" w14:paraId="5DF1898C" w14:textId="77777777" w:rsidTr="002A471C">
        <w:trPr>
          <w:trHeight w:val="271"/>
        </w:trPr>
        <w:tc>
          <w:tcPr>
            <w:tcW w:w="2941" w:type="dxa"/>
            <w:shd w:val="clear" w:color="auto" w:fill="auto"/>
            <w:noWrap/>
            <w:vAlign w:val="bottom"/>
            <w:hideMark/>
          </w:tcPr>
          <w:p w14:paraId="48ABEBED" w14:textId="77777777" w:rsidR="00ED4BDA" w:rsidRPr="00A13C71" w:rsidRDefault="00ED4BDA" w:rsidP="00ED4BDA">
            <w:pPr>
              <w:rPr>
                <w:rFonts w:ascii="Cambria" w:hAnsi="Cambria" w:cs="Arial"/>
                <w:noProof/>
                <w:sz w:val="22"/>
                <w:szCs w:val="22"/>
                <w:lang w:val="sr-Latn-BA"/>
              </w:rPr>
            </w:pPr>
            <w:r w:rsidRPr="00A13C71">
              <w:rPr>
                <w:rFonts w:ascii="Cambria" w:hAnsi="Cambria" w:cs="Arial"/>
                <w:noProof/>
                <w:sz w:val="22"/>
                <w:szCs w:val="22"/>
                <w:lang w:val="sr-Latn-BA"/>
              </w:rPr>
              <w:t xml:space="preserve">Najniža tržišna cijena </w:t>
            </w:r>
          </w:p>
        </w:tc>
        <w:tc>
          <w:tcPr>
            <w:tcW w:w="1448" w:type="dxa"/>
            <w:tcBorders>
              <w:top w:val="nil"/>
              <w:left w:val="single" w:sz="4" w:space="0" w:color="auto"/>
              <w:bottom w:val="single" w:sz="4" w:space="0" w:color="auto"/>
              <w:right w:val="single" w:sz="4" w:space="0" w:color="auto"/>
            </w:tcBorders>
            <w:shd w:val="clear" w:color="auto" w:fill="auto"/>
            <w:noWrap/>
            <w:vAlign w:val="bottom"/>
          </w:tcPr>
          <w:p w14:paraId="0686AFC1" w14:textId="32191E26" w:rsidR="00ED4BDA" w:rsidRPr="00A13C71" w:rsidRDefault="00ED4BDA" w:rsidP="00ED4BDA">
            <w:pPr>
              <w:jc w:val="right"/>
              <w:rPr>
                <w:rFonts w:ascii="Cambria" w:hAnsi="Cambria" w:cs="Arial"/>
                <w:noProof/>
                <w:sz w:val="22"/>
                <w:szCs w:val="22"/>
                <w:lang w:val="sr-Latn-BA"/>
              </w:rPr>
            </w:pPr>
            <w:r w:rsidRPr="00A13C71">
              <w:rPr>
                <w:rFonts w:ascii="Cambria" w:hAnsi="Cambria" w:cs="Arial"/>
                <w:noProof/>
                <w:sz w:val="22"/>
                <w:szCs w:val="22"/>
                <w:lang w:val="sr-Latn-BA"/>
              </w:rPr>
              <w:t>0,00</w:t>
            </w:r>
          </w:p>
        </w:tc>
        <w:tc>
          <w:tcPr>
            <w:tcW w:w="1539" w:type="dxa"/>
            <w:tcBorders>
              <w:top w:val="nil"/>
              <w:left w:val="single" w:sz="4" w:space="0" w:color="auto"/>
              <w:bottom w:val="single" w:sz="4" w:space="0" w:color="auto"/>
              <w:right w:val="single" w:sz="4" w:space="0" w:color="auto"/>
            </w:tcBorders>
            <w:shd w:val="clear" w:color="auto" w:fill="auto"/>
            <w:noWrap/>
            <w:vAlign w:val="bottom"/>
          </w:tcPr>
          <w:p w14:paraId="78112B9E" w14:textId="0EA76552" w:rsidR="00ED4BDA" w:rsidRPr="00A13C71" w:rsidRDefault="00ED4BDA" w:rsidP="00ED4BDA">
            <w:pPr>
              <w:jc w:val="right"/>
              <w:rPr>
                <w:rFonts w:ascii="Cambria" w:hAnsi="Cambria" w:cs="Arial"/>
                <w:noProof/>
                <w:sz w:val="22"/>
                <w:szCs w:val="22"/>
                <w:lang w:val="sr-Latn-BA"/>
              </w:rPr>
            </w:pPr>
            <w:r w:rsidRPr="00A13C71">
              <w:rPr>
                <w:rFonts w:ascii="Cambria" w:hAnsi="Cambria" w:cs="Arial"/>
                <w:noProof/>
                <w:sz w:val="22"/>
                <w:szCs w:val="22"/>
                <w:lang w:val="sr-Latn-BA"/>
              </w:rPr>
              <w:t>0,00</w:t>
            </w:r>
          </w:p>
        </w:tc>
        <w:tc>
          <w:tcPr>
            <w:tcW w:w="1551" w:type="dxa"/>
            <w:tcBorders>
              <w:top w:val="nil"/>
              <w:left w:val="single" w:sz="4" w:space="0" w:color="auto"/>
              <w:bottom w:val="single" w:sz="4" w:space="0" w:color="auto"/>
              <w:right w:val="single" w:sz="4" w:space="0" w:color="auto"/>
            </w:tcBorders>
            <w:shd w:val="clear" w:color="auto" w:fill="auto"/>
            <w:noWrap/>
            <w:vAlign w:val="bottom"/>
            <w:hideMark/>
          </w:tcPr>
          <w:p w14:paraId="45C3488E" w14:textId="68AB458E" w:rsidR="00ED4BDA" w:rsidRPr="00A13C71" w:rsidRDefault="009A14E8" w:rsidP="00ED4BDA">
            <w:pPr>
              <w:jc w:val="right"/>
              <w:rPr>
                <w:rFonts w:ascii="Cambria" w:hAnsi="Cambria" w:cs="Arial"/>
                <w:noProof/>
                <w:sz w:val="22"/>
                <w:szCs w:val="22"/>
                <w:lang w:val="sr-Latn-BA"/>
              </w:rPr>
            </w:pPr>
            <w:r>
              <w:rPr>
                <w:rFonts w:ascii="Cambria" w:hAnsi="Cambria" w:cs="Arial"/>
                <w:noProof/>
                <w:sz w:val="22"/>
                <w:szCs w:val="22"/>
                <w:lang w:val="sr-Latn-BA"/>
              </w:rPr>
              <w:t>0,</w:t>
            </w:r>
            <w:r w:rsidR="00CA3038" w:rsidRPr="00A13C71">
              <w:rPr>
                <w:rFonts w:ascii="Cambria" w:hAnsi="Cambria" w:cs="Arial"/>
                <w:noProof/>
                <w:sz w:val="22"/>
                <w:szCs w:val="22"/>
                <w:lang w:val="sr-Latn-BA"/>
              </w:rPr>
              <w:t>00</w:t>
            </w:r>
          </w:p>
        </w:tc>
        <w:tc>
          <w:tcPr>
            <w:tcW w:w="1448" w:type="dxa"/>
            <w:tcBorders>
              <w:top w:val="nil"/>
              <w:left w:val="single" w:sz="4" w:space="0" w:color="auto"/>
              <w:bottom w:val="single" w:sz="4" w:space="0" w:color="auto"/>
              <w:right w:val="single" w:sz="4" w:space="0" w:color="auto"/>
            </w:tcBorders>
            <w:shd w:val="clear" w:color="auto" w:fill="auto"/>
            <w:noWrap/>
            <w:vAlign w:val="bottom"/>
            <w:hideMark/>
          </w:tcPr>
          <w:p w14:paraId="6FC348AC" w14:textId="73E58F2E" w:rsidR="00ED4BDA" w:rsidRPr="00A13C71" w:rsidRDefault="009A14E8" w:rsidP="00586C48">
            <w:pPr>
              <w:jc w:val="right"/>
              <w:rPr>
                <w:rFonts w:ascii="Cambria" w:hAnsi="Cambria" w:cs="Arial"/>
                <w:noProof/>
                <w:sz w:val="22"/>
                <w:szCs w:val="22"/>
                <w:lang w:val="sr-Latn-BA"/>
              </w:rPr>
            </w:pPr>
            <w:r>
              <w:rPr>
                <w:rFonts w:ascii="Cambria" w:hAnsi="Cambria" w:cs="Arial"/>
                <w:noProof/>
                <w:sz w:val="22"/>
                <w:szCs w:val="22"/>
                <w:lang w:val="sr-Latn-BA"/>
              </w:rPr>
              <w:t>4,59</w:t>
            </w:r>
          </w:p>
        </w:tc>
        <w:tc>
          <w:tcPr>
            <w:tcW w:w="1534" w:type="dxa"/>
            <w:tcBorders>
              <w:top w:val="single" w:sz="4" w:space="0" w:color="auto"/>
              <w:bottom w:val="single" w:sz="4" w:space="0" w:color="auto"/>
              <w:right w:val="single" w:sz="4" w:space="0" w:color="auto"/>
            </w:tcBorders>
            <w:shd w:val="clear" w:color="auto" w:fill="auto"/>
            <w:noWrap/>
            <w:vAlign w:val="bottom"/>
            <w:hideMark/>
          </w:tcPr>
          <w:p w14:paraId="31C7ED90" w14:textId="6207A205" w:rsidR="00ED4BDA" w:rsidRPr="00A13C71" w:rsidRDefault="009A14E8" w:rsidP="00586C48">
            <w:pPr>
              <w:jc w:val="right"/>
              <w:rPr>
                <w:rFonts w:ascii="Cambria" w:hAnsi="Cambria" w:cs="Arial"/>
                <w:noProof/>
                <w:sz w:val="22"/>
                <w:szCs w:val="22"/>
                <w:lang w:val="sr-Latn-BA"/>
              </w:rPr>
            </w:pPr>
            <w:r>
              <w:rPr>
                <w:rFonts w:ascii="Cambria" w:hAnsi="Cambria" w:cs="Arial"/>
                <w:noProof/>
                <w:sz w:val="22"/>
                <w:szCs w:val="22"/>
                <w:lang w:val="sr-Latn-BA"/>
              </w:rPr>
              <w:t>2,7</w:t>
            </w:r>
          </w:p>
        </w:tc>
      </w:tr>
      <w:tr w:rsidR="00ED4BDA" w:rsidRPr="00A13C71" w14:paraId="4E12D150" w14:textId="77777777" w:rsidTr="002A471C">
        <w:trPr>
          <w:trHeight w:val="271"/>
        </w:trPr>
        <w:tc>
          <w:tcPr>
            <w:tcW w:w="2941" w:type="dxa"/>
            <w:shd w:val="clear" w:color="auto" w:fill="auto"/>
            <w:noWrap/>
            <w:vAlign w:val="bottom"/>
            <w:hideMark/>
          </w:tcPr>
          <w:p w14:paraId="1636B0B4" w14:textId="77777777" w:rsidR="00ED4BDA" w:rsidRPr="00A13C71" w:rsidRDefault="00ED4BDA" w:rsidP="00ED4BDA">
            <w:pPr>
              <w:rPr>
                <w:rFonts w:ascii="Cambria" w:hAnsi="Cambria" w:cs="Arial"/>
                <w:noProof/>
                <w:sz w:val="22"/>
                <w:szCs w:val="22"/>
                <w:lang w:val="sr-Latn-BA"/>
              </w:rPr>
            </w:pPr>
            <w:r w:rsidRPr="00A13C71">
              <w:rPr>
                <w:rFonts w:ascii="Cambria" w:hAnsi="Cambria" w:cs="Arial"/>
                <w:noProof/>
                <w:sz w:val="22"/>
                <w:szCs w:val="22"/>
                <w:lang w:val="sr-Latn-BA"/>
              </w:rPr>
              <w:t>Najviša tržišna cijena</w:t>
            </w:r>
          </w:p>
        </w:tc>
        <w:tc>
          <w:tcPr>
            <w:tcW w:w="1448" w:type="dxa"/>
            <w:tcBorders>
              <w:top w:val="nil"/>
              <w:left w:val="single" w:sz="4" w:space="0" w:color="auto"/>
              <w:bottom w:val="single" w:sz="4" w:space="0" w:color="auto"/>
              <w:right w:val="single" w:sz="4" w:space="0" w:color="auto"/>
            </w:tcBorders>
            <w:shd w:val="clear" w:color="auto" w:fill="auto"/>
            <w:noWrap/>
            <w:vAlign w:val="bottom"/>
          </w:tcPr>
          <w:p w14:paraId="4B25B1FF" w14:textId="72B64BE1" w:rsidR="00ED4BDA" w:rsidRPr="00A13C71" w:rsidRDefault="00ED4BDA" w:rsidP="00ED4BDA">
            <w:pPr>
              <w:jc w:val="right"/>
              <w:rPr>
                <w:rFonts w:ascii="Cambria" w:hAnsi="Cambria" w:cs="Arial"/>
                <w:noProof/>
                <w:sz w:val="22"/>
                <w:szCs w:val="22"/>
                <w:lang w:val="sr-Latn-BA"/>
              </w:rPr>
            </w:pPr>
            <w:r w:rsidRPr="00A13C71">
              <w:rPr>
                <w:rFonts w:ascii="Cambria" w:hAnsi="Cambria" w:cs="Arial"/>
                <w:noProof/>
                <w:sz w:val="22"/>
                <w:szCs w:val="22"/>
                <w:lang w:val="sr-Latn-BA"/>
              </w:rPr>
              <w:t>0,00</w:t>
            </w:r>
          </w:p>
        </w:tc>
        <w:tc>
          <w:tcPr>
            <w:tcW w:w="1539" w:type="dxa"/>
            <w:tcBorders>
              <w:top w:val="nil"/>
              <w:left w:val="single" w:sz="4" w:space="0" w:color="auto"/>
              <w:bottom w:val="single" w:sz="4" w:space="0" w:color="auto"/>
              <w:right w:val="single" w:sz="4" w:space="0" w:color="auto"/>
            </w:tcBorders>
            <w:shd w:val="clear" w:color="auto" w:fill="auto"/>
            <w:noWrap/>
            <w:vAlign w:val="bottom"/>
          </w:tcPr>
          <w:p w14:paraId="002A5DDB" w14:textId="1A705B9C" w:rsidR="00ED4BDA" w:rsidRPr="00A13C71" w:rsidRDefault="00ED4BDA" w:rsidP="00ED4BDA">
            <w:pPr>
              <w:jc w:val="right"/>
              <w:rPr>
                <w:rFonts w:ascii="Cambria" w:hAnsi="Cambria" w:cs="Arial"/>
                <w:noProof/>
                <w:sz w:val="22"/>
                <w:szCs w:val="22"/>
                <w:lang w:val="sr-Latn-BA"/>
              </w:rPr>
            </w:pPr>
            <w:r w:rsidRPr="00A13C71">
              <w:rPr>
                <w:rFonts w:ascii="Cambria" w:hAnsi="Cambria" w:cs="Arial"/>
                <w:noProof/>
                <w:sz w:val="22"/>
                <w:szCs w:val="22"/>
                <w:lang w:val="sr-Latn-BA"/>
              </w:rPr>
              <w:t>0,00</w:t>
            </w:r>
          </w:p>
        </w:tc>
        <w:tc>
          <w:tcPr>
            <w:tcW w:w="1551" w:type="dxa"/>
            <w:tcBorders>
              <w:top w:val="nil"/>
              <w:left w:val="single" w:sz="4" w:space="0" w:color="auto"/>
              <w:bottom w:val="single" w:sz="4" w:space="0" w:color="auto"/>
              <w:right w:val="single" w:sz="4" w:space="0" w:color="auto"/>
            </w:tcBorders>
            <w:shd w:val="clear" w:color="auto" w:fill="auto"/>
            <w:noWrap/>
            <w:vAlign w:val="bottom"/>
            <w:hideMark/>
          </w:tcPr>
          <w:p w14:paraId="745F4258" w14:textId="7BEAA8D1" w:rsidR="00ED4BDA" w:rsidRPr="00A13C71" w:rsidRDefault="009A14E8" w:rsidP="00ED4BDA">
            <w:pPr>
              <w:jc w:val="right"/>
              <w:rPr>
                <w:rFonts w:ascii="Cambria" w:hAnsi="Cambria" w:cs="Arial"/>
                <w:noProof/>
                <w:sz w:val="22"/>
                <w:szCs w:val="22"/>
                <w:lang w:val="sr-Latn-BA"/>
              </w:rPr>
            </w:pPr>
            <w:r>
              <w:rPr>
                <w:rFonts w:ascii="Cambria" w:hAnsi="Cambria" w:cs="Arial"/>
                <w:noProof/>
                <w:sz w:val="22"/>
                <w:szCs w:val="22"/>
                <w:lang w:val="sr-Latn-BA"/>
              </w:rPr>
              <w:t>0,</w:t>
            </w:r>
            <w:r w:rsidR="001D5EA3" w:rsidRPr="00A13C71">
              <w:rPr>
                <w:rFonts w:ascii="Cambria" w:hAnsi="Cambria" w:cs="Arial"/>
                <w:noProof/>
                <w:sz w:val="22"/>
                <w:szCs w:val="22"/>
                <w:lang w:val="sr-Latn-BA"/>
              </w:rPr>
              <w:t>00</w:t>
            </w:r>
          </w:p>
        </w:tc>
        <w:tc>
          <w:tcPr>
            <w:tcW w:w="1448" w:type="dxa"/>
            <w:tcBorders>
              <w:top w:val="nil"/>
              <w:left w:val="single" w:sz="4" w:space="0" w:color="auto"/>
              <w:bottom w:val="single" w:sz="4" w:space="0" w:color="auto"/>
              <w:right w:val="single" w:sz="4" w:space="0" w:color="auto"/>
            </w:tcBorders>
            <w:shd w:val="clear" w:color="auto" w:fill="auto"/>
            <w:noWrap/>
            <w:vAlign w:val="bottom"/>
            <w:hideMark/>
          </w:tcPr>
          <w:p w14:paraId="0581151F" w14:textId="5C29CEFE" w:rsidR="00ED4BDA" w:rsidRPr="00A13C71" w:rsidRDefault="009A14E8" w:rsidP="00586C48">
            <w:pPr>
              <w:jc w:val="right"/>
              <w:rPr>
                <w:rFonts w:ascii="Cambria" w:hAnsi="Cambria" w:cs="Arial"/>
                <w:noProof/>
                <w:sz w:val="22"/>
                <w:szCs w:val="22"/>
                <w:lang w:val="sr-Latn-BA"/>
              </w:rPr>
            </w:pPr>
            <w:r>
              <w:rPr>
                <w:rFonts w:ascii="Cambria" w:hAnsi="Cambria" w:cs="Arial"/>
                <w:noProof/>
                <w:sz w:val="22"/>
                <w:szCs w:val="22"/>
                <w:lang w:val="sr-Latn-BA"/>
              </w:rPr>
              <w:t>5,20</w:t>
            </w:r>
          </w:p>
        </w:tc>
        <w:tc>
          <w:tcPr>
            <w:tcW w:w="1534" w:type="dxa"/>
            <w:tcBorders>
              <w:top w:val="single" w:sz="4" w:space="0" w:color="auto"/>
              <w:bottom w:val="single" w:sz="4" w:space="0" w:color="auto"/>
              <w:right w:val="single" w:sz="4" w:space="0" w:color="auto"/>
            </w:tcBorders>
            <w:shd w:val="clear" w:color="auto" w:fill="auto"/>
            <w:noWrap/>
            <w:vAlign w:val="bottom"/>
            <w:hideMark/>
          </w:tcPr>
          <w:p w14:paraId="4413FE62" w14:textId="77C03F93" w:rsidR="00ED4BDA" w:rsidRPr="00A13C71" w:rsidRDefault="009A14E8" w:rsidP="00586C48">
            <w:pPr>
              <w:jc w:val="right"/>
              <w:rPr>
                <w:rFonts w:ascii="Cambria" w:hAnsi="Cambria" w:cs="Arial"/>
                <w:noProof/>
                <w:sz w:val="22"/>
                <w:szCs w:val="22"/>
                <w:lang w:val="sr-Latn-BA"/>
              </w:rPr>
            </w:pPr>
            <w:r>
              <w:rPr>
                <w:rFonts w:ascii="Cambria" w:hAnsi="Cambria" w:cs="Arial"/>
                <w:noProof/>
                <w:sz w:val="22"/>
                <w:szCs w:val="22"/>
                <w:lang w:val="sr-Latn-BA"/>
              </w:rPr>
              <w:t>3,2</w:t>
            </w:r>
          </w:p>
        </w:tc>
      </w:tr>
    </w:tbl>
    <w:p w14:paraId="4C73FD5B" w14:textId="77777777" w:rsidR="00287BB1" w:rsidRPr="00A13C71" w:rsidRDefault="00287BB1" w:rsidP="0033759C">
      <w:pPr>
        <w:rPr>
          <w:rFonts w:ascii="Cambria" w:hAnsi="Cambria"/>
          <w:noProof/>
          <w:sz w:val="22"/>
          <w:szCs w:val="22"/>
          <w:lang w:val="sr-Latn-BA"/>
        </w:rPr>
      </w:pPr>
    </w:p>
    <w:p w14:paraId="05E5D3C4" w14:textId="77777777" w:rsidR="002376FB" w:rsidRPr="00A13C71" w:rsidRDefault="002376FB" w:rsidP="0033759C">
      <w:pPr>
        <w:rPr>
          <w:rFonts w:ascii="Cambria" w:hAnsi="Cambria"/>
          <w:b/>
          <w:i/>
          <w:iCs/>
          <w:noProof/>
          <w:sz w:val="22"/>
          <w:szCs w:val="22"/>
          <w:lang w:val="sr-Latn-BA"/>
        </w:rPr>
      </w:pPr>
    </w:p>
    <w:p w14:paraId="385516FE" w14:textId="7821041E" w:rsidR="0033759C" w:rsidRDefault="0033759C" w:rsidP="0033759C">
      <w:pPr>
        <w:rPr>
          <w:rFonts w:ascii="Cambria" w:hAnsi="Cambria"/>
          <w:b/>
          <w:i/>
          <w:iCs/>
          <w:noProof/>
          <w:sz w:val="22"/>
          <w:szCs w:val="22"/>
          <w:lang w:val="sr-Latn-BA"/>
        </w:rPr>
      </w:pPr>
      <w:r w:rsidRPr="00A13C71">
        <w:rPr>
          <w:rFonts w:ascii="Cambria" w:hAnsi="Cambria"/>
          <w:b/>
          <w:i/>
          <w:iCs/>
          <w:noProof/>
          <w:sz w:val="22"/>
          <w:szCs w:val="22"/>
          <w:lang w:val="sr-Latn-BA"/>
        </w:rPr>
        <w:t>Pokazatelj berzanskih posrednika u trgovini hartijama od vrijednosti</w:t>
      </w:r>
    </w:p>
    <w:p w14:paraId="25A7E025" w14:textId="77777777" w:rsidR="006A5E75" w:rsidRPr="00A13C71" w:rsidRDefault="006A5E75" w:rsidP="0033759C">
      <w:pPr>
        <w:rPr>
          <w:rFonts w:ascii="Cambria" w:hAnsi="Cambria"/>
          <w:b/>
          <w:i/>
          <w:iCs/>
          <w:noProof/>
          <w:sz w:val="22"/>
          <w:szCs w:val="22"/>
          <w:lang w:val="sr-Latn-BA"/>
        </w:rPr>
      </w:pPr>
    </w:p>
    <w:p w14:paraId="335FDBD3" w14:textId="57C7D7DF" w:rsidR="0033759C" w:rsidRPr="00A13C71" w:rsidRDefault="0033759C" w:rsidP="0033759C">
      <w:pPr>
        <w:jc w:val="both"/>
        <w:rPr>
          <w:rFonts w:ascii="Cambria" w:hAnsi="Cambria"/>
          <w:noProof/>
          <w:sz w:val="22"/>
          <w:szCs w:val="22"/>
          <w:lang w:val="sr-Latn-BA"/>
        </w:rPr>
      </w:pPr>
    </w:p>
    <w:tbl>
      <w:tblPr>
        <w:tblW w:w="10490" w:type="dxa"/>
        <w:tblInd w:w="108" w:type="dxa"/>
        <w:tblLook w:val="04A0" w:firstRow="1" w:lastRow="0" w:firstColumn="1" w:lastColumn="0" w:noHBand="0" w:noVBand="1"/>
      </w:tblPr>
      <w:tblGrid>
        <w:gridCol w:w="3082"/>
        <w:gridCol w:w="1932"/>
        <w:gridCol w:w="1956"/>
        <w:gridCol w:w="1606"/>
        <w:gridCol w:w="1914"/>
      </w:tblGrid>
      <w:tr w:rsidR="007D2BB4" w:rsidRPr="00A13C71" w14:paraId="073BC5A9" w14:textId="77777777" w:rsidTr="00FB6BAF">
        <w:trPr>
          <w:trHeight w:val="243"/>
        </w:trPr>
        <w:tc>
          <w:tcPr>
            <w:tcW w:w="3082" w:type="dxa"/>
            <w:tcBorders>
              <w:top w:val="nil"/>
              <w:left w:val="nil"/>
              <w:bottom w:val="nil"/>
              <w:right w:val="nil"/>
            </w:tcBorders>
            <w:shd w:val="clear" w:color="auto" w:fill="auto"/>
            <w:noWrap/>
            <w:vAlign w:val="bottom"/>
            <w:hideMark/>
          </w:tcPr>
          <w:p w14:paraId="045D0C9D" w14:textId="77777777" w:rsidR="00C63118" w:rsidRPr="00A13C71" w:rsidRDefault="00C63118">
            <w:pPr>
              <w:rPr>
                <w:rFonts w:ascii="Cambria" w:hAnsi="Cambria"/>
                <w:noProof/>
                <w:sz w:val="22"/>
                <w:szCs w:val="22"/>
                <w:lang w:val="sr-Latn-BA"/>
              </w:rPr>
            </w:pPr>
          </w:p>
        </w:tc>
        <w:tc>
          <w:tcPr>
            <w:tcW w:w="3888" w:type="dxa"/>
            <w:gridSpan w:val="2"/>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00B99CBC" w14:textId="77777777" w:rsidR="00C63118" w:rsidRPr="00A13C71" w:rsidRDefault="00C63118">
            <w:pPr>
              <w:jc w:val="center"/>
              <w:rPr>
                <w:rFonts w:ascii="Cambria" w:hAnsi="Cambria"/>
                <w:noProof/>
                <w:sz w:val="22"/>
                <w:szCs w:val="22"/>
                <w:lang w:val="sr-Latn-BA"/>
              </w:rPr>
            </w:pPr>
            <w:r w:rsidRPr="00A13C71">
              <w:rPr>
                <w:rFonts w:ascii="Cambria" w:hAnsi="Cambria"/>
                <w:noProof/>
                <w:sz w:val="22"/>
                <w:szCs w:val="22"/>
                <w:lang w:val="sr-Latn-BA"/>
              </w:rPr>
              <w:t>I - VRIJEDNOST TRANSAKCIJA</w:t>
            </w:r>
          </w:p>
        </w:tc>
        <w:tc>
          <w:tcPr>
            <w:tcW w:w="3520" w:type="dxa"/>
            <w:gridSpan w:val="2"/>
            <w:tcBorders>
              <w:top w:val="single" w:sz="4" w:space="0" w:color="808080"/>
              <w:left w:val="nil"/>
              <w:bottom w:val="single" w:sz="4" w:space="0" w:color="808080"/>
              <w:right w:val="single" w:sz="4" w:space="0" w:color="808080"/>
            </w:tcBorders>
            <w:shd w:val="clear" w:color="auto" w:fill="auto"/>
            <w:vAlign w:val="center"/>
            <w:hideMark/>
          </w:tcPr>
          <w:p w14:paraId="6BBE8686" w14:textId="77777777" w:rsidR="00C63118" w:rsidRPr="00A13C71" w:rsidRDefault="00C63118">
            <w:pPr>
              <w:jc w:val="center"/>
              <w:rPr>
                <w:rFonts w:ascii="Cambria" w:hAnsi="Cambria"/>
                <w:noProof/>
                <w:sz w:val="22"/>
                <w:szCs w:val="22"/>
                <w:lang w:val="sr-Latn-BA"/>
              </w:rPr>
            </w:pPr>
            <w:r w:rsidRPr="00A13C71">
              <w:rPr>
                <w:rFonts w:ascii="Cambria" w:hAnsi="Cambria"/>
                <w:noProof/>
                <w:sz w:val="22"/>
                <w:szCs w:val="22"/>
                <w:lang w:val="sr-Latn-BA"/>
              </w:rPr>
              <w:t>II - OBRAČUNATA PROVIZIJA</w:t>
            </w:r>
          </w:p>
        </w:tc>
      </w:tr>
      <w:tr w:rsidR="00FB6BAF" w:rsidRPr="00A13C71" w14:paraId="099DCE63" w14:textId="77777777" w:rsidTr="00FB6BAF">
        <w:trPr>
          <w:trHeight w:val="243"/>
        </w:trPr>
        <w:tc>
          <w:tcPr>
            <w:tcW w:w="3082" w:type="dxa"/>
            <w:tcBorders>
              <w:top w:val="nil"/>
              <w:left w:val="nil"/>
              <w:bottom w:val="nil"/>
              <w:right w:val="nil"/>
            </w:tcBorders>
            <w:shd w:val="clear" w:color="auto" w:fill="auto"/>
            <w:noWrap/>
            <w:vAlign w:val="bottom"/>
          </w:tcPr>
          <w:p w14:paraId="61ED9345" w14:textId="77777777" w:rsidR="00FB6BAF" w:rsidRPr="00A13C71" w:rsidRDefault="00FB6BAF">
            <w:pPr>
              <w:rPr>
                <w:rFonts w:ascii="Cambria" w:hAnsi="Cambria"/>
                <w:noProof/>
                <w:sz w:val="22"/>
                <w:szCs w:val="22"/>
                <w:lang w:val="sr-Latn-BA"/>
              </w:rPr>
            </w:pPr>
          </w:p>
        </w:tc>
        <w:tc>
          <w:tcPr>
            <w:tcW w:w="3888" w:type="dxa"/>
            <w:gridSpan w:val="2"/>
            <w:tcBorders>
              <w:top w:val="single" w:sz="4" w:space="0" w:color="808080"/>
              <w:left w:val="single" w:sz="4" w:space="0" w:color="808080"/>
              <w:bottom w:val="single" w:sz="4" w:space="0" w:color="808080"/>
              <w:right w:val="single" w:sz="4" w:space="0" w:color="808080"/>
            </w:tcBorders>
            <w:shd w:val="clear" w:color="auto" w:fill="auto"/>
            <w:vAlign w:val="center"/>
          </w:tcPr>
          <w:p w14:paraId="7237B1C1" w14:textId="77777777" w:rsidR="00FB6BAF" w:rsidRPr="00A13C71" w:rsidRDefault="00FB6BAF">
            <w:pPr>
              <w:jc w:val="center"/>
              <w:rPr>
                <w:rFonts w:ascii="Cambria" w:hAnsi="Cambria"/>
                <w:noProof/>
                <w:sz w:val="22"/>
                <w:szCs w:val="22"/>
                <w:lang w:val="sr-Latn-BA"/>
              </w:rPr>
            </w:pPr>
          </w:p>
        </w:tc>
        <w:tc>
          <w:tcPr>
            <w:tcW w:w="3520" w:type="dxa"/>
            <w:gridSpan w:val="2"/>
            <w:tcBorders>
              <w:top w:val="single" w:sz="4" w:space="0" w:color="808080"/>
              <w:left w:val="nil"/>
              <w:bottom w:val="single" w:sz="4" w:space="0" w:color="808080"/>
              <w:right w:val="single" w:sz="4" w:space="0" w:color="808080"/>
            </w:tcBorders>
            <w:shd w:val="clear" w:color="auto" w:fill="auto"/>
            <w:vAlign w:val="center"/>
          </w:tcPr>
          <w:p w14:paraId="5DAB2456" w14:textId="77777777" w:rsidR="00FB6BAF" w:rsidRPr="00A13C71" w:rsidRDefault="00FB6BAF">
            <w:pPr>
              <w:jc w:val="center"/>
              <w:rPr>
                <w:rFonts w:ascii="Cambria" w:hAnsi="Cambria"/>
                <w:noProof/>
                <w:sz w:val="22"/>
                <w:szCs w:val="22"/>
                <w:lang w:val="sr-Latn-BA"/>
              </w:rPr>
            </w:pPr>
          </w:p>
        </w:tc>
      </w:tr>
      <w:tr w:rsidR="007D2BB4" w:rsidRPr="00A13C71" w14:paraId="1DEEB5A1" w14:textId="77777777" w:rsidTr="00FB6BAF">
        <w:trPr>
          <w:trHeight w:val="636"/>
        </w:trPr>
        <w:tc>
          <w:tcPr>
            <w:tcW w:w="3082" w:type="dxa"/>
            <w:tcBorders>
              <w:top w:val="single" w:sz="4" w:space="0" w:color="808080"/>
              <w:left w:val="single" w:sz="4" w:space="0" w:color="808080"/>
              <w:bottom w:val="single" w:sz="4" w:space="0" w:color="808080"/>
              <w:right w:val="nil"/>
            </w:tcBorders>
            <w:shd w:val="clear" w:color="auto" w:fill="auto"/>
            <w:vAlign w:val="center"/>
            <w:hideMark/>
          </w:tcPr>
          <w:p w14:paraId="1B1A9088" w14:textId="77777777" w:rsidR="00C63118" w:rsidRPr="00A13C71" w:rsidRDefault="00C63118">
            <w:pPr>
              <w:jc w:val="center"/>
              <w:rPr>
                <w:rFonts w:ascii="Cambria" w:hAnsi="Cambria"/>
                <w:noProof/>
                <w:sz w:val="22"/>
                <w:szCs w:val="22"/>
                <w:lang w:val="sr-Latn-BA"/>
              </w:rPr>
            </w:pPr>
            <w:r w:rsidRPr="00A13C71">
              <w:rPr>
                <w:rFonts w:ascii="Cambria" w:hAnsi="Cambria"/>
                <w:noProof/>
                <w:sz w:val="22"/>
                <w:szCs w:val="22"/>
                <w:lang w:val="sr-Latn-BA"/>
              </w:rPr>
              <w:t>Naziv berzanskog posrednika</w:t>
            </w:r>
          </w:p>
        </w:tc>
        <w:tc>
          <w:tcPr>
            <w:tcW w:w="1932" w:type="dxa"/>
            <w:tcBorders>
              <w:top w:val="nil"/>
              <w:left w:val="single" w:sz="4" w:space="0" w:color="808080"/>
              <w:bottom w:val="single" w:sz="4" w:space="0" w:color="808080"/>
              <w:right w:val="single" w:sz="4" w:space="0" w:color="808080"/>
            </w:tcBorders>
            <w:shd w:val="clear" w:color="auto" w:fill="auto"/>
            <w:vAlign w:val="center"/>
            <w:hideMark/>
          </w:tcPr>
          <w:p w14:paraId="6527645B" w14:textId="77777777" w:rsidR="00C63118" w:rsidRPr="00A13C71" w:rsidRDefault="00C63118">
            <w:pPr>
              <w:jc w:val="center"/>
              <w:rPr>
                <w:rFonts w:ascii="Cambria" w:hAnsi="Cambria"/>
                <w:noProof/>
                <w:sz w:val="22"/>
                <w:szCs w:val="22"/>
                <w:lang w:val="sr-Latn-BA"/>
              </w:rPr>
            </w:pPr>
            <w:r w:rsidRPr="00A13C71">
              <w:rPr>
                <w:rFonts w:ascii="Cambria" w:hAnsi="Cambria"/>
                <w:noProof/>
                <w:sz w:val="22"/>
                <w:szCs w:val="22"/>
                <w:lang w:val="sr-Latn-BA"/>
              </w:rPr>
              <w:t>Vrijednost transakcija</w:t>
            </w:r>
          </w:p>
        </w:tc>
        <w:tc>
          <w:tcPr>
            <w:tcW w:w="1956" w:type="dxa"/>
            <w:tcBorders>
              <w:top w:val="nil"/>
              <w:left w:val="nil"/>
              <w:bottom w:val="single" w:sz="4" w:space="0" w:color="808080"/>
              <w:right w:val="single" w:sz="4" w:space="0" w:color="808080"/>
            </w:tcBorders>
            <w:shd w:val="clear" w:color="auto" w:fill="auto"/>
            <w:vAlign w:val="center"/>
            <w:hideMark/>
          </w:tcPr>
          <w:p w14:paraId="3341E4AE" w14:textId="77777777" w:rsidR="00C63118" w:rsidRPr="00A13C71" w:rsidRDefault="00C63118">
            <w:pPr>
              <w:jc w:val="center"/>
              <w:rPr>
                <w:rFonts w:ascii="Cambria" w:hAnsi="Cambria"/>
                <w:noProof/>
                <w:sz w:val="22"/>
                <w:szCs w:val="22"/>
                <w:lang w:val="sr-Latn-BA"/>
              </w:rPr>
            </w:pPr>
            <w:r w:rsidRPr="00A13C71">
              <w:rPr>
                <w:rFonts w:ascii="Cambria" w:hAnsi="Cambria"/>
                <w:noProof/>
                <w:sz w:val="22"/>
                <w:szCs w:val="22"/>
                <w:lang w:val="sr-Latn-BA"/>
              </w:rPr>
              <w:t>Ucešće u ukupnoj vrijednosti transakcija</w:t>
            </w:r>
          </w:p>
        </w:tc>
        <w:tc>
          <w:tcPr>
            <w:tcW w:w="1606" w:type="dxa"/>
            <w:tcBorders>
              <w:top w:val="nil"/>
              <w:left w:val="nil"/>
              <w:bottom w:val="single" w:sz="4" w:space="0" w:color="808080"/>
              <w:right w:val="single" w:sz="4" w:space="0" w:color="808080"/>
            </w:tcBorders>
            <w:shd w:val="clear" w:color="auto" w:fill="auto"/>
            <w:vAlign w:val="center"/>
            <w:hideMark/>
          </w:tcPr>
          <w:p w14:paraId="01EEB717" w14:textId="77777777" w:rsidR="00C63118" w:rsidRPr="00A13C71" w:rsidRDefault="00C63118">
            <w:pPr>
              <w:jc w:val="center"/>
              <w:rPr>
                <w:rFonts w:ascii="Cambria" w:hAnsi="Cambria"/>
                <w:noProof/>
                <w:sz w:val="22"/>
                <w:szCs w:val="22"/>
                <w:lang w:val="sr-Latn-BA"/>
              </w:rPr>
            </w:pPr>
            <w:r w:rsidRPr="00A13C71">
              <w:rPr>
                <w:rFonts w:ascii="Cambria" w:hAnsi="Cambria"/>
                <w:noProof/>
                <w:sz w:val="22"/>
                <w:szCs w:val="22"/>
                <w:lang w:val="sr-Latn-BA"/>
              </w:rPr>
              <w:t>Iznos provizije</w:t>
            </w:r>
          </w:p>
        </w:tc>
        <w:tc>
          <w:tcPr>
            <w:tcW w:w="1914" w:type="dxa"/>
            <w:tcBorders>
              <w:top w:val="nil"/>
              <w:left w:val="nil"/>
              <w:bottom w:val="single" w:sz="4" w:space="0" w:color="808080"/>
              <w:right w:val="single" w:sz="4" w:space="0" w:color="808080"/>
            </w:tcBorders>
            <w:shd w:val="clear" w:color="auto" w:fill="auto"/>
            <w:vAlign w:val="center"/>
            <w:hideMark/>
          </w:tcPr>
          <w:p w14:paraId="3DF29298" w14:textId="77777777" w:rsidR="00C63118" w:rsidRPr="00A13C71" w:rsidRDefault="00C63118">
            <w:pPr>
              <w:jc w:val="center"/>
              <w:rPr>
                <w:rFonts w:ascii="Cambria" w:hAnsi="Cambria"/>
                <w:noProof/>
                <w:sz w:val="22"/>
                <w:szCs w:val="22"/>
                <w:lang w:val="sr-Latn-BA"/>
              </w:rPr>
            </w:pPr>
            <w:r w:rsidRPr="00A13C71">
              <w:rPr>
                <w:rFonts w:ascii="Cambria" w:hAnsi="Cambria"/>
                <w:noProof/>
                <w:sz w:val="22"/>
                <w:szCs w:val="22"/>
                <w:lang w:val="sr-Latn-BA"/>
              </w:rPr>
              <w:t>Učešće provizije u vrijednosti transakcija</w:t>
            </w:r>
          </w:p>
        </w:tc>
      </w:tr>
      <w:tr w:rsidR="007066CB" w:rsidRPr="00A13C71" w14:paraId="77F78D47" w14:textId="77777777" w:rsidTr="00FB6BAF">
        <w:trPr>
          <w:trHeight w:val="243"/>
        </w:trPr>
        <w:tc>
          <w:tcPr>
            <w:tcW w:w="3082" w:type="dxa"/>
            <w:tcBorders>
              <w:top w:val="nil"/>
              <w:left w:val="single" w:sz="4" w:space="0" w:color="808080"/>
              <w:bottom w:val="single" w:sz="4" w:space="0" w:color="808080"/>
              <w:right w:val="nil"/>
            </w:tcBorders>
            <w:shd w:val="clear" w:color="auto" w:fill="auto"/>
            <w:vAlign w:val="center"/>
          </w:tcPr>
          <w:p w14:paraId="09EF0A0B" w14:textId="629C4E35" w:rsidR="007066CB" w:rsidRPr="00A13C71" w:rsidRDefault="001D5EA3">
            <w:pPr>
              <w:rPr>
                <w:rFonts w:ascii="Cambria" w:hAnsi="Cambria"/>
                <w:noProof/>
                <w:color w:val="000000"/>
                <w:sz w:val="22"/>
                <w:szCs w:val="22"/>
                <w:lang w:val="sr-Latn-BA"/>
              </w:rPr>
            </w:pPr>
            <w:r w:rsidRPr="00A13C71">
              <w:rPr>
                <w:rFonts w:ascii="Cambria" w:hAnsi="Cambria"/>
                <w:noProof/>
                <w:color w:val="000000"/>
                <w:sz w:val="22"/>
                <w:szCs w:val="22"/>
                <w:lang w:val="sr-Latn-BA"/>
              </w:rPr>
              <w:t>ADVANTIS</w:t>
            </w:r>
          </w:p>
        </w:tc>
        <w:tc>
          <w:tcPr>
            <w:tcW w:w="1932" w:type="dxa"/>
            <w:tcBorders>
              <w:top w:val="nil"/>
              <w:left w:val="single" w:sz="4" w:space="0" w:color="808080"/>
              <w:bottom w:val="single" w:sz="4" w:space="0" w:color="808080"/>
              <w:right w:val="single" w:sz="4" w:space="0" w:color="808080"/>
            </w:tcBorders>
            <w:shd w:val="clear" w:color="auto" w:fill="auto"/>
            <w:vAlign w:val="center"/>
          </w:tcPr>
          <w:p w14:paraId="32610A75" w14:textId="010D30C2" w:rsidR="007066CB" w:rsidRPr="00A13C71" w:rsidRDefault="00931B97" w:rsidP="008B377D">
            <w:pPr>
              <w:jc w:val="right"/>
              <w:rPr>
                <w:rFonts w:ascii="Cambria" w:hAnsi="Cambria"/>
                <w:noProof/>
                <w:color w:val="000000"/>
                <w:sz w:val="22"/>
                <w:szCs w:val="22"/>
                <w:lang w:val="sr-Latn-BA"/>
              </w:rPr>
            </w:pPr>
            <w:r>
              <w:rPr>
                <w:rFonts w:ascii="Cambria" w:hAnsi="Cambria"/>
                <w:noProof/>
                <w:color w:val="000000"/>
                <w:sz w:val="22"/>
                <w:szCs w:val="22"/>
                <w:lang w:val="sr-Latn-BA"/>
              </w:rPr>
              <w:t>1</w:t>
            </w:r>
            <w:r>
              <w:rPr>
                <w:color w:val="000000"/>
              </w:rPr>
              <w:t>4</w:t>
            </w:r>
            <w:r w:rsidR="00FC40EA">
              <w:rPr>
                <w:color w:val="000000"/>
              </w:rPr>
              <w:t>.</w:t>
            </w:r>
            <w:r>
              <w:rPr>
                <w:color w:val="000000"/>
              </w:rPr>
              <w:t>900,02</w:t>
            </w:r>
          </w:p>
        </w:tc>
        <w:tc>
          <w:tcPr>
            <w:tcW w:w="1956" w:type="dxa"/>
            <w:tcBorders>
              <w:top w:val="nil"/>
              <w:left w:val="nil"/>
              <w:bottom w:val="single" w:sz="4" w:space="0" w:color="808080"/>
              <w:right w:val="single" w:sz="4" w:space="0" w:color="808080"/>
            </w:tcBorders>
            <w:shd w:val="clear" w:color="auto" w:fill="auto"/>
            <w:vAlign w:val="center"/>
          </w:tcPr>
          <w:p w14:paraId="4FDB08C3" w14:textId="2A386EAB" w:rsidR="007066CB" w:rsidRPr="00A13C71" w:rsidRDefault="001D5EA3" w:rsidP="008B377D">
            <w:pPr>
              <w:jc w:val="right"/>
              <w:rPr>
                <w:rFonts w:ascii="Cambria" w:hAnsi="Cambria"/>
                <w:noProof/>
                <w:color w:val="000000"/>
                <w:sz w:val="22"/>
                <w:szCs w:val="22"/>
                <w:lang w:val="sr-Latn-BA"/>
              </w:rPr>
            </w:pPr>
            <w:r w:rsidRPr="00A13C71">
              <w:rPr>
                <w:rFonts w:ascii="Cambria" w:hAnsi="Cambria"/>
                <w:noProof/>
                <w:color w:val="000000"/>
                <w:sz w:val="22"/>
                <w:szCs w:val="22"/>
                <w:lang w:val="sr-Latn-BA"/>
              </w:rPr>
              <w:t>100</w:t>
            </w:r>
          </w:p>
        </w:tc>
        <w:tc>
          <w:tcPr>
            <w:tcW w:w="1606" w:type="dxa"/>
            <w:tcBorders>
              <w:top w:val="nil"/>
              <w:left w:val="nil"/>
              <w:bottom w:val="single" w:sz="4" w:space="0" w:color="808080"/>
              <w:right w:val="single" w:sz="4" w:space="0" w:color="808080"/>
            </w:tcBorders>
            <w:shd w:val="clear" w:color="auto" w:fill="auto"/>
            <w:vAlign w:val="center"/>
          </w:tcPr>
          <w:p w14:paraId="20EC0E03" w14:textId="71BE5221" w:rsidR="007066CB" w:rsidRPr="00A13C71" w:rsidRDefault="00931B97" w:rsidP="00AD7F8B">
            <w:pPr>
              <w:jc w:val="right"/>
              <w:rPr>
                <w:rFonts w:ascii="Cambria" w:hAnsi="Cambria"/>
                <w:noProof/>
                <w:color w:val="000000"/>
                <w:sz w:val="22"/>
                <w:szCs w:val="22"/>
                <w:lang w:val="sr-Latn-BA"/>
              </w:rPr>
            </w:pPr>
            <w:r>
              <w:rPr>
                <w:rFonts w:ascii="Cambria" w:hAnsi="Cambria"/>
                <w:noProof/>
                <w:color w:val="000000"/>
                <w:sz w:val="22"/>
                <w:szCs w:val="22"/>
                <w:lang w:val="sr-Latn-BA"/>
              </w:rPr>
              <w:t>5</w:t>
            </w:r>
            <w:r w:rsidR="00FC40EA">
              <w:rPr>
                <w:rFonts w:ascii="Cambria" w:hAnsi="Cambria"/>
                <w:noProof/>
                <w:color w:val="000000"/>
                <w:lang w:val="sr-Latn-BA"/>
              </w:rPr>
              <w:t>2,15</w:t>
            </w:r>
          </w:p>
        </w:tc>
        <w:tc>
          <w:tcPr>
            <w:tcW w:w="1914" w:type="dxa"/>
            <w:tcBorders>
              <w:top w:val="nil"/>
              <w:left w:val="nil"/>
              <w:bottom w:val="single" w:sz="4" w:space="0" w:color="808080"/>
              <w:right w:val="single" w:sz="4" w:space="0" w:color="808080"/>
            </w:tcBorders>
            <w:shd w:val="clear" w:color="auto" w:fill="auto"/>
            <w:vAlign w:val="center"/>
          </w:tcPr>
          <w:p w14:paraId="1AE25585" w14:textId="5C92F352" w:rsidR="007066CB" w:rsidRPr="00A13C71" w:rsidRDefault="001D5EA3">
            <w:pPr>
              <w:jc w:val="right"/>
              <w:rPr>
                <w:rFonts w:ascii="Cambria" w:hAnsi="Cambria"/>
                <w:noProof/>
                <w:color w:val="000000"/>
                <w:sz w:val="22"/>
                <w:szCs w:val="22"/>
                <w:lang w:val="sr-Latn-BA"/>
              </w:rPr>
            </w:pPr>
            <w:r w:rsidRPr="00A13C71">
              <w:rPr>
                <w:rFonts w:ascii="Cambria" w:hAnsi="Cambria"/>
                <w:noProof/>
                <w:color w:val="000000"/>
                <w:sz w:val="22"/>
                <w:szCs w:val="22"/>
                <w:lang w:val="sr-Latn-BA"/>
              </w:rPr>
              <w:t>0,3</w:t>
            </w:r>
            <w:r w:rsidR="00FC40EA">
              <w:rPr>
                <w:rFonts w:ascii="Cambria" w:hAnsi="Cambria"/>
                <w:noProof/>
                <w:color w:val="000000"/>
                <w:sz w:val="22"/>
                <w:szCs w:val="22"/>
                <w:lang w:val="sr-Latn-BA"/>
              </w:rPr>
              <w:t>500</w:t>
            </w:r>
          </w:p>
        </w:tc>
      </w:tr>
      <w:tr w:rsidR="007066CB" w:rsidRPr="00A13C71" w14:paraId="37B9EAC6" w14:textId="77777777" w:rsidTr="00FB6BAF">
        <w:trPr>
          <w:trHeight w:val="243"/>
        </w:trPr>
        <w:tc>
          <w:tcPr>
            <w:tcW w:w="3082" w:type="dxa"/>
            <w:tcBorders>
              <w:top w:val="nil"/>
              <w:left w:val="single" w:sz="4" w:space="0" w:color="808080"/>
              <w:bottom w:val="single" w:sz="4" w:space="0" w:color="808080"/>
              <w:right w:val="nil"/>
            </w:tcBorders>
            <w:shd w:val="clear" w:color="auto" w:fill="auto"/>
            <w:vAlign w:val="center"/>
          </w:tcPr>
          <w:p w14:paraId="72E1A123" w14:textId="3044A5E9" w:rsidR="007066CB" w:rsidRPr="00A13C71" w:rsidRDefault="007066CB">
            <w:pPr>
              <w:rPr>
                <w:rFonts w:ascii="Cambria" w:hAnsi="Cambria"/>
                <w:noProof/>
                <w:color w:val="000000"/>
                <w:sz w:val="22"/>
                <w:szCs w:val="22"/>
                <w:lang w:val="sr-Latn-BA"/>
              </w:rPr>
            </w:pPr>
          </w:p>
        </w:tc>
        <w:tc>
          <w:tcPr>
            <w:tcW w:w="1932" w:type="dxa"/>
            <w:tcBorders>
              <w:top w:val="nil"/>
              <w:left w:val="single" w:sz="4" w:space="0" w:color="808080"/>
              <w:bottom w:val="single" w:sz="4" w:space="0" w:color="808080"/>
              <w:right w:val="single" w:sz="4" w:space="0" w:color="808080"/>
            </w:tcBorders>
            <w:shd w:val="clear" w:color="auto" w:fill="auto"/>
            <w:vAlign w:val="center"/>
          </w:tcPr>
          <w:p w14:paraId="54EFA2BE" w14:textId="3DD1CDFD" w:rsidR="007066CB" w:rsidRPr="00A13C71" w:rsidRDefault="007066CB" w:rsidP="003D7846">
            <w:pPr>
              <w:jc w:val="right"/>
              <w:rPr>
                <w:rFonts w:ascii="Cambria" w:hAnsi="Cambria"/>
                <w:noProof/>
                <w:color w:val="000000"/>
                <w:sz w:val="22"/>
                <w:szCs w:val="22"/>
                <w:lang w:val="sr-Latn-BA"/>
              </w:rPr>
            </w:pPr>
          </w:p>
        </w:tc>
        <w:tc>
          <w:tcPr>
            <w:tcW w:w="1956" w:type="dxa"/>
            <w:tcBorders>
              <w:top w:val="nil"/>
              <w:left w:val="nil"/>
              <w:bottom w:val="single" w:sz="4" w:space="0" w:color="808080"/>
              <w:right w:val="single" w:sz="4" w:space="0" w:color="808080"/>
            </w:tcBorders>
            <w:shd w:val="clear" w:color="auto" w:fill="auto"/>
            <w:vAlign w:val="center"/>
          </w:tcPr>
          <w:p w14:paraId="08432393" w14:textId="284FAEDC" w:rsidR="007066CB" w:rsidRPr="00A13C71" w:rsidRDefault="007066CB" w:rsidP="003D7846">
            <w:pPr>
              <w:jc w:val="right"/>
              <w:rPr>
                <w:rFonts w:ascii="Cambria" w:hAnsi="Cambria"/>
                <w:noProof/>
                <w:color w:val="000000"/>
                <w:sz w:val="22"/>
                <w:szCs w:val="22"/>
                <w:lang w:val="sr-Latn-BA"/>
              </w:rPr>
            </w:pPr>
          </w:p>
        </w:tc>
        <w:tc>
          <w:tcPr>
            <w:tcW w:w="1606" w:type="dxa"/>
            <w:tcBorders>
              <w:top w:val="nil"/>
              <w:left w:val="nil"/>
              <w:bottom w:val="single" w:sz="4" w:space="0" w:color="808080"/>
              <w:right w:val="single" w:sz="4" w:space="0" w:color="808080"/>
            </w:tcBorders>
            <w:shd w:val="clear" w:color="auto" w:fill="auto"/>
            <w:vAlign w:val="center"/>
          </w:tcPr>
          <w:p w14:paraId="12B87BFF" w14:textId="7A8EBCBF" w:rsidR="007066CB" w:rsidRPr="00A13C71" w:rsidRDefault="007066CB" w:rsidP="00AD7F8B">
            <w:pPr>
              <w:jc w:val="right"/>
              <w:rPr>
                <w:rFonts w:ascii="Cambria" w:hAnsi="Cambria"/>
                <w:noProof/>
                <w:color w:val="000000"/>
                <w:sz w:val="22"/>
                <w:szCs w:val="22"/>
                <w:lang w:val="sr-Latn-BA"/>
              </w:rPr>
            </w:pPr>
          </w:p>
        </w:tc>
        <w:tc>
          <w:tcPr>
            <w:tcW w:w="1914" w:type="dxa"/>
            <w:tcBorders>
              <w:top w:val="nil"/>
              <w:left w:val="nil"/>
              <w:bottom w:val="single" w:sz="4" w:space="0" w:color="808080"/>
              <w:right w:val="single" w:sz="4" w:space="0" w:color="808080"/>
            </w:tcBorders>
            <w:shd w:val="clear" w:color="auto" w:fill="auto"/>
            <w:vAlign w:val="center"/>
          </w:tcPr>
          <w:p w14:paraId="4A79A4F3" w14:textId="1B6647DB" w:rsidR="007066CB" w:rsidRPr="00A13C71" w:rsidRDefault="007066CB">
            <w:pPr>
              <w:jc w:val="right"/>
              <w:rPr>
                <w:rFonts w:ascii="Cambria" w:hAnsi="Cambria"/>
                <w:noProof/>
                <w:color w:val="000000"/>
                <w:sz w:val="22"/>
                <w:szCs w:val="22"/>
                <w:lang w:val="sr-Latn-BA"/>
              </w:rPr>
            </w:pPr>
          </w:p>
        </w:tc>
      </w:tr>
      <w:tr w:rsidR="00C63118" w:rsidRPr="00A13C71" w14:paraId="68B11E59" w14:textId="77777777" w:rsidTr="00FB6BAF">
        <w:trPr>
          <w:trHeight w:val="243"/>
        </w:trPr>
        <w:tc>
          <w:tcPr>
            <w:tcW w:w="3082" w:type="dxa"/>
            <w:tcBorders>
              <w:top w:val="nil"/>
              <w:left w:val="single" w:sz="4" w:space="0" w:color="808080"/>
              <w:bottom w:val="single" w:sz="4" w:space="0" w:color="808080"/>
              <w:right w:val="nil"/>
            </w:tcBorders>
            <w:shd w:val="clear" w:color="auto" w:fill="auto"/>
            <w:vAlign w:val="center"/>
          </w:tcPr>
          <w:p w14:paraId="28F539F7" w14:textId="549DA1C7" w:rsidR="00C63118" w:rsidRPr="00A13C71" w:rsidRDefault="00C63118">
            <w:pPr>
              <w:rPr>
                <w:rFonts w:ascii="Cambria" w:hAnsi="Cambria"/>
                <w:noProof/>
                <w:color w:val="000000"/>
                <w:sz w:val="22"/>
                <w:szCs w:val="22"/>
                <w:lang w:val="sr-Latn-BA"/>
              </w:rPr>
            </w:pPr>
          </w:p>
        </w:tc>
        <w:tc>
          <w:tcPr>
            <w:tcW w:w="1932" w:type="dxa"/>
            <w:tcBorders>
              <w:top w:val="nil"/>
              <w:left w:val="single" w:sz="4" w:space="0" w:color="808080"/>
              <w:bottom w:val="single" w:sz="4" w:space="0" w:color="808080"/>
              <w:right w:val="single" w:sz="4" w:space="0" w:color="808080"/>
            </w:tcBorders>
            <w:shd w:val="clear" w:color="auto" w:fill="auto"/>
            <w:vAlign w:val="center"/>
          </w:tcPr>
          <w:p w14:paraId="62BD7BB7" w14:textId="34D841B2" w:rsidR="00C63118" w:rsidRPr="00A13C71" w:rsidRDefault="00C63118" w:rsidP="008B377D">
            <w:pPr>
              <w:jc w:val="right"/>
              <w:rPr>
                <w:rFonts w:ascii="Cambria" w:hAnsi="Cambria"/>
                <w:noProof/>
                <w:color w:val="000000"/>
                <w:sz w:val="22"/>
                <w:szCs w:val="22"/>
                <w:lang w:val="sr-Latn-BA"/>
              </w:rPr>
            </w:pPr>
          </w:p>
        </w:tc>
        <w:tc>
          <w:tcPr>
            <w:tcW w:w="1956" w:type="dxa"/>
            <w:tcBorders>
              <w:top w:val="nil"/>
              <w:left w:val="nil"/>
              <w:bottom w:val="single" w:sz="4" w:space="0" w:color="808080"/>
              <w:right w:val="single" w:sz="4" w:space="0" w:color="808080"/>
            </w:tcBorders>
            <w:shd w:val="clear" w:color="auto" w:fill="auto"/>
            <w:vAlign w:val="center"/>
          </w:tcPr>
          <w:p w14:paraId="1A400428" w14:textId="13F3EB11" w:rsidR="00C63118" w:rsidRPr="00A13C71" w:rsidRDefault="00C63118" w:rsidP="008B377D">
            <w:pPr>
              <w:jc w:val="right"/>
              <w:rPr>
                <w:rFonts w:ascii="Cambria" w:hAnsi="Cambria"/>
                <w:noProof/>
                <w:color w:val="000000"/>
                <w:sz w:val="22"/>
                <w:szCs w:val="22"/>
                <w:lang w:val="sr-Latn-BA"/>
              </w:rPr>
            </w:pPr>
          </w:p>
        </w:tc>
        <w:tc>
          <w:tcPr>
            <w:tcW w:w="1606" w:type="dxa"/>
            <w:tcBorders>
              <w:top w:val="nil"/>
              <w:left w:val="nil"/>
              <w:bottom w:val="single" w:sz="4" w:space="0" w:color="808080"/>
              <w:right w:val="single" w:sz="4" w:space="0" w:color="808080"/>
            </w:tcBorders>
            <w:shd w:val="clear" w:color="auto" w:fill="auto"/>
            <w:vAlign w:val="center"/>
          </w:tcPr>
          <w:p w14:paraId="24EC42DB" w14:textId="50EBE392" w:rsidR="00C63118" w:rsidRPr="00A13C71" w:rsidRDefault="00C63118" w:rsidP="00AD7F8B">
            <w:pPr>
              <w:jc w:val="right"/>
              <w:rPr>
                <w:rFonts w:ascii="Cambria" w:hAnsi="Cambria"/>
                <w:noProof/>
                <w:color w:val="000000"/>
                <w:sz w:val="22"/>
                <w:szCs w:val="22"/>
                <w:lang w:val="sr-Latn-BA"/>
              </w:rPr>
            </w:pPr>
          </w:p>
        </w:tc>
        <w:tc>
          <w:tcPr>
            <w:tcW w:w="1914" w:type="dxa"/>
            <w:tcBorders>
              <w:top w:val="nil"/>
              <w:left w:val="nil"/>
              <w:bottom w:val="single" w:sz="4" w:space="0" w:color="808080"/>
              <w:right w:val="single" w:sz="4" w:space="0" w:color="808080"/>
            </w:tcBorders>
            <w:shd w:val="clear" w:color="auto" w:fill="auto"/>
            <w:vAlign w:val="center"/>
          </w:tcPr>
          <w:p w14:paraId="16CD9A9C" w14:textId="3DDF617E" w:rsidR="0036216B" w:rsidRPr="00A13C71" w:rsidRDefault="0036216B" w:rsidP="003D7846">
            <w:pPr>
              <w:jc w:val="right"/>
              <w:rPr>
                <w:rFonts w:ascii="Cambria" w:hAnsi="Cambria"/>
                <w:noProof/>
                <w:color w:val="000000"/>
                <w:sz w:val="22"/>
                <w:szCs w:val="22"/>
                <w:lang w:val="sr-Latn-BA"/>
              </w:rPr>
            </w:pPr>
          </w:p>
        </w:tc>
      </w:tr>
      <w:tr w:rsidR="001D5EA3" w:rsidRPr="00A13C71" w14:paraId="73104743" w14:textId="77777777" w:rsidTr="008800BC">
        <w:trPr>
          <w:trHeight w:val="243"/>
        </w:trPr>
        <w:tc>
          <w:tcPr>
            <w:tcW w:w="3082" w:type="dxa"/>
            <w:tcBorders>
              <w:top w:val="nil"/>
              <w:left w:val="single" w:sz="4" w:space="0" w:color="808080"/>
              <w:bottom w:val="single" w:sz="4" w:space="0" w:color="808080"/>
              <w:right w:val="nil"/>
            </w:tcBorders>
            <w:shd w:val="clear" w:color="auto" w:fill="auto"/>
            <w:vAlign w:val="center"/>
            <w:hideMark/>
          </w:tcPr>
          <w:p w14:paraId="6F2296AF" w14:textId="601A3A6A" w:rsidR="001D5EA3" w:rsidRPr="00A13C71" w:rsidRDefault="001D5EA3" w:rsidP="001D5EA3">
            <w:pPr>
              <w:rPr>
                <w:rFonts w:ascii="Cambria" w:hAnsi="Cambria"/>
                <w:noProof/>
                <w:color w:val="000000"/>
                <w:sz w:val="22"/>
                <w:szCs w:val="22"/>
                <w:lang w:val="sr-Latn-BA"/>
              </w:rPr>
            </w:pPr>
            <w:r w:rsidRPr="00A13C71">
              <w:rPr>
                <w:rFonts w:ascii="Cambria" w:hAnsi="Cambria"/>
                <w:noProof/>
                <w:color w:val="000000"/>
                <w:sz w:val="22"/>
                <w:szCs w:val="22"/>
                <w:lang w:val="sr-Latn-BA"/>
              </w:rPr>
              <w:t>Ukupno</w:t>
            </w:r>
          </w:p>
        </w:tc>
        <w:tc>
          <w:tcPr>
            <w:tcW w:w="1932" w:type="dxa"/>
            <w:tcBorders>
              <w:top w:val="nil"/>
              <w:left w:val="single" w:sz="4" w:space="0" w:color="808080"/>
              <w:bottom w:val="single" w:sz="4" w:space="0" w:color="808080"/>
              <w:right w:val="single" w:sz="4" w:space="0" w:color="808080"/>
            </w:tcBorders>
            <w:shd w:val="clear" w:color="auto" w:fill="auto"/>
          </w:tcPr>
          <w:p w14:paraId="1CFBA319" w14:textId="606BB56E" w:rsidR="001D5EA3" w:rsidRPr="00A13C71" w:rsidRDefault="00FC40EA" w:rsidP="001D5EA3">
            <w:pPr>
              <w:jc w:val="right"/>
              <w:rPr>
                <w:rFonts w:ascii="Cambria" w:hAnsi="Cambria"/>
                <w:b/>
                <w:bCs/>
                <w:noProof/>
                <w:color w:val="000000"/>
                <w:sz w:val="22"/>
                <w:szCs w:val="22"/>
                <w:lang w:val="sr-Latn-BA"/>
              </w:rPr>
            </w:pPr>
            <w:r>
              <w:rPr>
                <w:b/>
                <w:bCs/>
                <w:noProof/>
                <w:lang w:val="sr-Latn-BA"/>
              </w:rPr>
              <w:t>14.900,02</w:t>
            </w:r>
          </w:p>
        </w:tc>
        <w:tc>
          <w:tcPr>
            <w:tcW w:w="1956" w:type="dxa"/>
            <w:tcBorders>
              <w:top w:val="nil"/>
              <w:left w:val="nil"/>
              <w:bottom w:val="single" w:sz="4" w:space="0" w:color="808080"/>
              <w:right w:val="single" w:sz="4" w:space="0" w:color="808080"/>
            </w:tcBorders>
            <w:shd w:val="clear" w:color="auto" w:fill="auto"/>
          </w:tcPr>
          <w:p w14:paraId="7CACC2BB" w14:textId="1C54A793" w:rsidR="001D5EA3" w:rsidRPr="00A13C71" w:rsidRDefault="001D5EA3" w:rsidP="001D5EA3">
            <w:pPr>
              <w:jc w:val="right"/>
              <w:rPr>
                <w:rFonts w:ascii="Cambria" w:hAnsi="Cambria"/>
                <w:b/>
                <w:bCs/>
                <w:noProof/>
                <w:color w:val="000000"/>
                <w:sz w:val="22"/>
                <w:szCs w:val="22"/>
                <w:lang w:val="sr-Latn-BA"/>
              </w:rPr>
            </w:pPr>
            <w:r w:rsidRPr="00A13C71">
              <w:rPr>
                <w:b/>
                <w:bCs/>
                <w:noProof/>
                <w:lang w:val="sr-Latn-BA"/>
              </w:rPr>
              <w:t>100</w:t>
            </w:r>
          </w:p>
        </w:tc>
        <w:tc>
          <w:tcPr>
            <w:tcW w:w="1606" w:type="dxa"/>
            <w:tcBorders>
              <w:top w:val="nil"/>
              <w:left w:val="nil"/>
              <w:bottom w:val="single" w:sz="4" w:space="0" w:color="808080"/>
              <w:right w:val="single" w:sz="4" w:space="0" w:color="808080"/>
            </w:tcBorders>
            <w:shd w:val="clear" w:color="auto" w:fill="auto"/>
          </w:tcPr>
          <w:p w14:paraId="0AB7792C" w14:textId="38C0E5C3" w:rsidR="001D5EA3" w:rsidRPr="00A13C71" w:rsidRDefault="00FC40EA" w:rsidP="001D5EA3">
            <w:pPr>
              <w:jc w:val="right"/>
              <w:rPr>
                <w:rFonts w:ascii="Cambria" w:hAnsi="Cambria"/>
                <w:b/>
                <w:bCs/>
                <w:noProof/>
                <w:color w:val="000000"/>
                <w:sz w:val="22"/>
                <w:szCs w:val="22"/>
                <w:lang w:val="sr-Latn-BA"/>
              </w:rPr>
            </w:pPr>
            <w:r>
              <w:rPr>
                <w:b/>
                <w:bCs/>
                <w:noProof/>
                <w:lang w:val="sr-Latn-BA"/>
              </w:rPr>
              <w:t>52,15</w:t>
            </w:r>
          </w:p>
        </w:tc>
        <w:tc>
          <w:tcPr>
            <w:tcW w:w="1914" w:type="dxa"/>
            <w:tcBorders>
              <w:top w:val="nil"/>
              <w:left w:val="nil"/>
              <w:bottom w:val="single" w:sz="4" w:space="0" w:color="808080"/>
              <w:right w:val="single" w:sz="4" w:space="0" w:color="808080"/>
            </w:tcBorders>
            <w:shd w:val="clear" w:color="auto" w:fill="auto"/>
          </w:tcPr>
          <w:p w14:paraId="3BB03C90" w14:textId="0A0D32B6" w:rsidR="001D5EA3" w:rsidRPr="00A13C71" w:rsidRDefault="001D5EA3" w:rsidP="001D5EA3">
            <w:pPr>
              <w:jc w:val="right"/>
              <w:rPr>
                <w:rFonts w:ascii="Cambria" w:hAnsi="Cambria"/>
                <w:b/>
                <w:bCs/>
                <w:noProof/>
                <w:color w:val="000000"/>
                <w:sz w:val="22"/>
                <w:szCs w:val="22"/>
                <w:lang w:val="sr-Latn-BA"/>
              </w:rPr>
            </w:pPr>
            <w:r w:rsidRPr="00A13C71">
              <w:rPr>
                <w:b/>
                <w:bCs/>
                <w:noProof/>
                <w:lang w:val="sr-Latn-BA"/>
              </w:rPr>
              <w:t>0,3</w:t>
            </w:r>
            <w:r w:rsidR="00FC40EA">
              <w:rPr>
                <w:b/>
                <w:bCs/>
                <w:noProof/>
                <w:lang w:val="sr-Latn-BA"/>
              </w:rPr>
              <w:t>500</w:t>
            </w:r>
          </w:p>
        </w:tc>
      </w:tr>
    </w:tbl>
    <w:p w14:paraId="66A23EA5" w14:textId="4E978743" w:rsidR="007A625F" w:rsidRPr="00A13C71" w:rsidRDefault="007A625F" w:rsidP="00A2382F">
      <w:pPr>
        <w:rPr>
          <w:rFonts w:ascii="Cambria" w:hAnsi="Cambria"/>
          <w:b/>
          <w:bCs/>
          <w:noProof/>
          <w:sz w:val="22"/>
          <w:szCs w:val="22"/>
          <w:lang w:val="sr-Latn-BA"/>
        </w:rPr>
      </w:pPr>
      <w:bookmarkStart w:id="25" w:name="_Hlk45784439"/>
    </w:p>
    <w:p w14:paraId="55527C4C" w14:textId="77777777" w:rsidR="00E53AF4" w:rsidRPr="00A13C71" w:rsidRDefault="00E53AF4" w:rsidP="00A2382F">
      <w:pPr>
        <w:rPr>
          <w:rFonts w:ascii="Cambria" w:hAnsi="Cambria"/>
          <w:b/>
          <w:bCs/>
          <w:noProof/>
          <w:sz w:val="22"/>
          <w:szCs w:val="22"/>
          <w:lang w:val="sr-Latn-BA"/>
        </w:rPr>
      </w:pPr>
    </w:p>
    <w:p w14:paraId="340F41AB" w14:textId="4866DE85" w:rsidR="00055F25" w:rsidRDefault="00055F25" w:rsidP="00A2382F">
      <w:pPr>
        <w:rPr>
          <w:rFonts w:ascii="Cambria" w:hAnsi="Cambria"/>
          <w:b/>
          <w:bCs/>
          <w:noProof/>
          <w:sz w:val="22"/>
          <w:szCs w:val="22"/>
          <w:lang w:val="sr-Latn-BA"/>
        </w:rPr>
      </w:pPr>
    </w:p>
    <w:p w14:paraId="2D7374C0" w14:textId="34B1343A" w:rsidR="006A5E75" w:rsidRDefault="006A5E75" w:rsidP="00A2382F">
      <w:pPr>
        <w:rPr>
          <w:rFonts w:ascii="Cambria" w:hAnsi="Cambria"/>
          <w:b/>
          <w:bCs/>
          <w:noProof/>
          <w:sz w:val="22"/>
          <w:szCs w:val="22"/>
          <w:lang w:val="sr-Latn-BA"/>
        </w:rPr>
      </w:pPr>
    </w:p>
    <w:p w14:paraId="0D2D5DD4" w14:textId="20754FCE" w:rsidR="006A5E75" w:rsidRDefault="006A5E75" w:rsidP="00A2382F">
      <w:pPr>
        <w:rPr>
          <w:rFonts w:ascii="Cambria" w:hAnsi="Cambria"/>
          <w:b/>
          <w:bCs/>
          <w:noProof/>
          <w:sz w:val="22"/>
          <w:szCs w:val="22"/>
          <w:lang w:val="sr-Latn-BA"/>
        </w:rPr>
      </w:pPr>
    </w:p>
    <w:p w14:paraId="4F8357BE" w14:textId="7CC9FFEB" w:rsidR="006A5E75" w:rsidRDefault="006A5E75" w:rsidP="00A2382F">
      <w:pPr>
        <w:rPr>
          <w:rFonts w:ascii="Cambria" w:hAnsi="Cambria"/>
          <w:b/>
          <w:bCs/>
          <w:noProof/>
          <w:sz w:val="22"/>
          <w:szCs w:val="22"/>
          <w:lang w:val="sr-Latn-BA"/>
        </w:rPr>
      </w:pPr>
    </w:p>
    <w:p w14:paraId="6C6BC9C9" w14:textId="7E29281D" w:rsidR="006A5E75" w:rsidRDefault="006A5E75" w:rsidP="00A2382F">
      <w:pPr>
        <w:rPr>
          <w:rFonts w:ascii="Cambria" w:hAnsi="Cambria"/>
          <w:b/>
          <w:bCs/>
          <w:noProof/>
          <w:sz w:val="22"/>
          <w:szCs w:val="22"/>
          <w:lang w:val="sr-Latn-BA"/>
        </w:rPr>
      </w:pPr>
    </w:p>
    <w:p w14:paraId="0BF4E9BB" w14:textId="4DB774E3" w:rsidR="006A5E75" w:rsidRDefault="006A5E75" w:rsidP="00A2382F">
      <w:pPr>
        <w:rPr>
          <w:rFonts w:ascii="Cambria" w:hAnsi="Cambria"/>
          <w:b/>
          <w:bCs/>
          <w:noProof/>
          <w:sz w:val="22"/>
          <w:szCs w:val="22"/>
          <w:lang w:val="sr-Latn-BA"/>
        </w:rPr>
      </w:pPr>
    </w:p>
    <w:p w14:paraId="120C0D06" w14:textId="735C4983" w:rsidR="006A5E75" w:rsidRDefault="006A5E75" w:rsidP="00A2382F">
      <w:pPr>
        <w:rPr>
          <w:rFonts w:ascii="Cambria" w:hAnsi="Cambria"/>
          <w:b/>
          <w:bCs/>
          <w:noProof/>
          <w:sz w:val="22"/>
          <w:szCs w:val="22"/>
          <w:lang w:val="sr-Latn-BA"/>
        </w:rPr>
      </w:pPr>
    </w:p>
    <w:p w14:paraId="367D187B" w14:textId="77777777" w:rsidR="006A5E75" w:rsidRPr="00A13C71" w:rsidRDefault="006A5E75" w:rsidP="00A2382F">
      <w:pPr>
        <w:rPr>
          <w:rFonts w:ascii="Cambria" w:hAnsi="Cambria"/>
          <w:b/>
          <w:bCs/>
          <w:noProof/>
          <w:sz w:val="22"/>
          <w:szCs w:val="22"/>
          <w:lang w:val="sr-Latn-BA"/>
        </w:rPr>
      </w:pPr>
    </w:p>
    <w:p w14:paraId="545C1093" w14:textId="49FF6A6A" w:rsidR="00A2382F" w:rsidRPr="00A13C71" w:rsidRDefault="00A2382F" w:rsidP="00A2382F">
      <w:pPr>
        <w:rPr>
          <w:rFonts w:ascii="Cambria" w:hAnsi="Cambria"/>
          <w:b/>
          <w:bCs/>
          <w:noProof/>
          <w:sz w:val="22"/>
          <w:szCs w:val="22"/>
          <w:lang w:val="sr-Latn-BA"/>
        </w:rPr>
      </w:pPr>
      <w:r w:rsidRPr="00A13C71">
        <w:rPr>
          <w:rFonts w:ascii="Cambria" w:hAnsi="Cambria"/>
          <w:b/>
          <w:bCs/>
          <w:noProof/>
          <w:sz w:val="22"/>
          <w:szCs w:val="22"/>
          <w:lang w:val="sr-Latn-BA"/>
        </w:rPr>
        <w:t xml:space="preserve">6.   </w:t>
      </w:r>
      <w:r w:rsidRPr="00A13C71">
        <w:rPr>
          <w:rFonts w:ascii="Cambria" w:hAnsi="Cambria"/>
          <w:b/>
          <w:bCs/>
          <w:noProof/>
          <w:sz w:val="22"/>
          <w:szCs w:val="22"/>
          <w:lang w:val="sr-Latn-BA"/>
        </w:rPr>
        <w:tab/>
        <w:t xml:space="preserve"> IZVJEŠTAJ O RIZICIMA</w:t>
      </w:r>
    </w:p>
    <w:p w14:paraId="7485C438" w14:textId="77777777" w:rsidR="00E53AF4" w:rsidRPr="00A13C71" w:rsidRDefault="00E53AF4" w:rsidP="00A2382F">
      <w:pPr>
        <w:rPr>
          <w:rFonts w:ascii="Cambria" w:hAnsi="Cambria"/>
          <w:b/>
          <w:bCs/>
          <w:noProof/>
          <w:sz w:val="22"/>
          <w:szCs w:val="22"/>
          <w:lang w:val="sr-Latn-BA"/>
        </w:rPr>
      </w:pPr>
    </w:p>
    <w:bookmarkEnd w:id="25"/>
    <w:p w14:paraId="64EA6056" w14:textId="1693AD0C" w:rsidR="00664F2B" w:rsidRPr="00ED23FA" w:rsidRDefault="00163961" w:rsidP="00664F2B">
      <w:pPr>
        <w:rPr>
          <w:rFonts w:ascii="Cambria" w:hAnsi="Cambria"/>
          <w:b/>
          <w:bCs/>
          <w:noProof/>
          <w:sz w:val="22"/>
          <w:szCs w:val="22"/>
          <w:lang w:val="sr-Latn-BA"/>
        </w:rPr>
      </w:pPr>
      <w:r w:rsidRPr="00ED23FA">
        <w:rPr>
          <w:rFonts w:ascii="Cambria" w:hAnsi="Cambria"/>
          <w:b/>
          <w:bCs/>
          <w:noProof/>
          <w:sz w:val="22"/>
          <w:szCs w:val="22"/>
          <w:lang w:val="sr-Latn-BA"/>
        </w:rPr>
        <w:t>Tržišni rizik ( rizik promjene cijena finansijskih instumenata )</w:t>
      </w:r>
    </w:p>
    <w:p w14:paraId="3A626DBE" w14:textId="77777777" w:rsidR="00ED23FA" w:rsidRPr="00ED23FA" w:rsidRDefault="00ED23FA" w:rsidP="00664F2B">
      <w:pPr>
        <w:rPr>
          <w:rFonts w:ascii="Cambria" w:hAnsi="Cambria"/>
          <w:b/>
          <w:bCs/>
          <w:noProof/>
          <w:sz w:val="22"/>
          <w:szCs w:val="22"/>
          <w:lang w:val="sr-Latn-BA"/>
        </w:rPr>
      </w:pPr>
    </w:p>
    <w:p w14:paraId="3625C54A" w14:textId="1373FF52" w:rsidR="00C00D5F" w:rsidRPr="00ED23FA" w:rsidRDefault="00C00D5F" w:rsidP="00163961">
      <w:pPr>
        <w:jc w:val="both"/>
        <w:rPr>
          <w:rFonts w:ascii="Cambria" w:hAnsi="Cambria"/>
          <w:noProof/>
          <w:sz w:val="22"/>
          <w:szCs w:val="22"/>
          <w:lang w:val="sr-Latn-BA"/>
        </w:rPr>
      </w:pPr>
      <w:r w:rsidRPr="00ED23FA">
        <w:rPr>
          <w:rFonts w:ascii="Cambria" w:hAnsi="Cambria"/>
          <w:noProof/>
          <w:sz w:val="22"/>
          <w:szCs w:val="22"/>
          <w:lang w:val="sr-Latn-BA"/>
        </w:rPr>
        <w:t>Tržišni rizik predstavlja rizik nastanka gubitka vrijednosti imovine investicionog fonda usljed promjene tržišnih cijena imovine u portfelju fonda.</w:t>
      </w:r>
    </w:p>
    <w:p w14:paraId="2C3D0AB4" w14:textId="77777777" w:rsidR="00664F2B" w:rsidRPr="00ED23FA" w:rsidRDefault="00664F2B" w:rsidP="00664F2B">
      <w:pPr>
        <w:ind w:firstLine="708"/>
        <w:jc w:val="both"/>
        <w:rPr>
          <w:rFonts w:ascii="Cambria" w:hAnsi="Cambria"/>
          <w:noProof/>
          <w:sz w:val="22"/>
          <w:szCs w:val="22"/>
          <w:lang w:val="sr-Latn-BA"/>
        </w:rPr>
      </w:pPr>
    </w:p>
    <w:p w14:paraId="094FB04C" w14:textId="3CD0771A" w:rsidR="00664F2B" w:rsidRPr="00ED23FA" w:rsidRDefault="00664F2B" w:rsidP="00163961">
      <w:pPr>
        <w:jc w:val="both"/>
        <w:rPr>
          <w:rFonts w:ascii="Cambria" w:hAnsi="Cambria"/>
          <w:noProof/>
          <w:sz w:val="22"/>
          <w:szCs w:val="22"/>
          <w:lang w:val="sr-Latn-BA"/>
        </w:rPr>
      </w:pPr>
      <w:r w:rsidRPr="00ED23FA">
        <w:rPr>
          <w:rFonts w:ascii="Cambria" w:hAnsi="Cambria"/>
          <w:noProof/>
          <w:sz w:val="22"/>
          <w:szCs w:val="22"/>
          <w:lang w:val="sr-Latn-BA"/>
        </w:rPr>
        <w:t xml:space="preserve">U skladu sa internom klasifikacijom nivoa rizika, rizik promjene cijena finansijskih instumenata klasifikovan je u tri grupe – visoki, niski i umjereni rizik . </w:t>
      </w:r>
    </w:p>
    <w:p w14:paraId="6FCF180C" w14:textId="77777777" w:rsidR="00C00D5F" w:rsidRPr="00ED23FA" w:rsidRDefault="00C00D5F" w:rsidP="007F4E71">
      <w:pPr>
        <w:jc w:val="both"/>
        <w:rPr>
          <w:rFonts w:ascii="Cambria" w:hAnsi="Cambria"/>
          <w:noProof/>
          <w:sz w:val="22"/>
          <w:szCs w:val="22"/>
          <w:lang w:val="sr-Latn-BA"/>
        </w:rPr>
      </w:pPr>
    </w:p>
    <w:tbl>
      <w:tblPr>
        <w:tblW w:w="7220" w:type="dxa"/>
        <w:tblLook w:val="04A0" w:firstRow="1" w:lastRow="0" w:firstColumn="1" w:lastColumn="0" w:noHBand="0" w:noVBand="1"/>
      </w:tblPr>
      <w:tblGrid>
        <w:gridCol w:w="1833"/>
        <w:gridCol w:w="2410"/>
        <w:gridCol w:w="2977"/>
      </w:tblGrid>
      <w:tr w:rsidR="00C00D5F" w:rsidRPr="00ED23FA" w14:paraId="7BE075BF" w14:textId="77777777" w:rsidTr="00CD7A4D">
        <w:trPr>
          <w:trHeight w:val="315"/>
        </w:trPr>
        <w:tc>
          <w:tcPr>
            <w:tcW w:w="1833"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29E16D57" w14:textId="77777777" w:rsidR="00C00D5F" w:rsidRPr="00ED23FA" w:rsidRDefault="00C00D5F" w:rsidP="00CD7A4D">
            <w:pPr>
              <w:rPr>
                <w:rFonts w:ascii="Cambria" w:hAnsi="Cambria"/>
                <w:b/>
                <w:bCs/>
                <w:noProof/>
                <w:color w:val="000000"/>
                <w:sz w:val="22"/>
                <w:szCs w:val="22"/>
                <w:lang w:val="sr-Latn-BA" w:eastAsia="sr-Latn-BA"/>
              </w:rPr>
            </w:pPr>
            <w:r w:rsidRPr="00ED23FA">
              <w:rPr>
                <w:rFonts w:ascii="Cambria" w:hAnsi="Cambria"/>
                <w:b/>
                <w:bCs/>
                <w:noProof/>
                <w:color w:val="000000"/>
                <w:sz w:val="22"/>
                <w:szCs w:val="22"/>
                <w:lang w:val="sr-Latn-BA" w:eastAsia="sr-Latn-BA"/>
              </w:rPr>
              <w:t>Nivo rizika</w:t>
            </w:r>
          </w:p>
        </w:tc>
        <w:tc>
          <w:tcPr>
            <w:tcW w:w="2410" w:type="dxa"/>
            <w:tcBorders>
              <w:top w:val="single" w:sz="8" w:space="0" w:color="auto"/>
              <w:left w:val="nil"/>
              <w:bottom w:val="single" w:sz="4" w:space="0" w:color="auto"/>
              <w:right w:val="single" w:sz="4" w:space="0" w:color="auto"/>
            </w:tcBorders>
            <w:shd w:val="clear" w:color="auto" w:fill="auto"/>
            <w:noWrap/>
            <w:vAlign w:val="bottom"/>
            <w:hideMark/>
          </w:tcPr>
          <w:p w14:paraId="482C6B10" w14:textId="77777777" w:rsidR="00C00D5F" w:rsidRPr="00ED23FA" w:rsidRDefault="00C00D5F" w:rsidP="000D5E70">
            <w:pPr>
              <w:jc w:val="center"/>
              <w:rPr>
                <w:rFonts w:ascii="Cambria" w:hAnsi="Cambria"/>
                <w:b/>
                <w:bCs/>
                <w:noProof/>
                <w:color w:val="000000"/>
                <w:sz w:val="22"/>
                <w:szCs w:val="22"/>
                <w:lang w:val="sr-Latn-BA" w:eastAsia="sr-Latn-BA"/>
              </w:rPr>
            </w:pPr>
            <w:r w:rsidRPr="00ED23FA">
              <w:rPr>
                <w:rFonts w:ascii="Cambria" w:hAnsi="Cambria"/>
                <w:b/>
                <w:bCs/>
                <w:noProof/>
                <w:color w:val="000000"/>
                <w:sz w:val="22"/>
                <w:szCs w:val="22"/>
                <w:lang w:val="sr-Latn-BA" w:eastAsia="sr-Latn-BA"/>
              </w:rPr>
              <w:t>Iznos</w:t>
            </w:r>
          </w:p>
        </w:tc>
        <w:tc>
          <w:tcPr>
            <w:tcW w:w="2977" w:type="dxa"/>
            <w:tcBorders>
              <w:top w:val="single" w:sz="8" w:space="0" w:color="auto"/>
              <w:left w:val="nil"/>
              <w:bottom w:val="single" w:sz="4" w:space="0" w:color="auto"/>
              <w:right w:val="single" w:sz="8" w:space="0" w:color="auto"/>
            </w:tcBorders>
            <w:shd w:val="clear" w:color="auto" w:fill="auto"/>
            <w:noWrap/>
            <w:vAlign w:val="bottom"/>
            <w:hideMark/>
          </w:tcPr>
          <w:p w14:paraId="6B141116" w14:textId="77777777" w:rsidR="00C00D5F" w:rsidRPr="00ED23FA" w:rsidRDefault="00C00D5F" w:rsidP="000D5E70">
            <w:pPr>
              <w:jc w:val="center"/>
              <w:rPr>
                <w:rFonts w:ascii="Cambria" w:hAnsi="Cambria"/>
                <w:b/>
                <w:bCs/>
                <w:noProof/>
                <w:color w:val="000000"/>
                <w:sz w:val="22"/>
                <w:szCs w:val="22"/>
                <w:lang w:val="sr-Latn-BA" w:eastAsia="sr-Latn-BA"/>
              </w:rPr>
            </w:pPr>
            <w:r w:rsidRPr="00ED23FA">
              <w:rPr>
                <w:rFonts w:ascii="Cambria" w:hAnsi="Cambria"/>
                <w:b/>
                <w:bCs/>
                <w:noProof/>
                <w:color w:val="000000"/>
                <w:sz w:val="22"/>
                <w:szCs w:val="22"/>
                <w:lang w:val="sr-Latn-BA" w:eastAsia="sr-Latn-BA"/>
              </w:rPr>
              <w:t>%</w:t>
            </w:r>
          </w:p>
        </w:tc>
      </w:tr>
      <w:tr w:rsidR="00442196" w:rsidRPr="00ED23FA" w14:paraId="43494582" w14:textId="77777777" w:rsidTr="00E256CD">
        <w:trPr>
          <w:trHeight w:val="305"/>
        </w:trPr>
        <w:tc>
          <w:tcPr>
            <w:tcW w:w="1833" w:type="dxa"/>
            <w:tcBorders>
              <w:top w:val="nil"/>
              <w:left w:val="single" w:sz="8" w:space="0" w:color="auto"/>
              <w:bottom w:val="single" w:sz="4" w:space="0" w:color="auto"/>
              <w:right w:val="single" w:sz="4" w:space="0" w:color="auto"/>
            </w:tcBorders>
            <w:shd w:val="clear" w:color="auto" w:fill="auto"/>
            <w:noWrap/>
            <w:hideMark/>
          </w:tcPr>
          <w:p w14:paraId="6D120ADB" w14:textId="6C1D68F2" w:rsidR="00442196" w:rsidRPr="00ED23FA" w:rsidRDefault="00442196" w:rsidP="00442196">
            <w:pPr>
              <w:rPr>
                <w:rFonts w:ascii="Cambria" w:hAnsi="Cambria"/>
                <w:noProof/>
                <w:color w:val="000000"/>
                <w:sz w:val="22"/>
                <w:szCs w:val="22"/>
                <w:lang w:val="sr-Latn-BA" w:eastAsia="sr-Latn-BA"/>
              </w:rPr>
            </w:pPr>
            <w:r w:rsidRPr="007E3CA3">
              <w:t>visoki</w:t>
            </w:r>
          </w:p>
        </w:tc>
        <w:tc>
          <w:tcPr>
            <w:tcW w:w="2410" w:type="dxa"/>
            <w:tcBorders>
              <w:top w:val="nil"/>
              <w:left w:val="nil"/>
              <w:bottom w:val="single" w:sz="4" w:space="0" w:color="auto"/>
              <w:right w:val="single" w:sz="4" w:space="0" w:color="auto"/>
            </w:tcBorders>
            <w:shd w:val="clear" w:color="auto" w:fill="auto"/>
            <w:noWrap/>
            <w:hideMark/>
          </w:tcPr>
          <w:p w14:paraId="6837781B" w14:textId="790279DA" w:rsidR="00442196" w:rsidRPr="00ED23FA" w:rsidRDefault="00442196" w:rsidP="00442196">
            <w:pPr>
              <w:jc w:val="right"/>
              <w:rPr>
                <w:rFonts w:ascii="Cambria" w:hAnsi="Cambria"/>
                <w:noProof/>
                <w:color w:val="000000"/>
                <w:sz w:val="22"/>
                <w:szCs w:val="22"/>
                <w:lang w:val="sr-Latn-BA" w:eastAsia="sr-Latn-BA"/>
              </w:rPr>
            </w:pPr>
            <w:r w:rsidRPr="007E3CA3">
              <w:t>3.607.482</w:t>
            </w:r>
          </w:p>
        </w:tc>
        <w:tc>
          <w:tcPr>
            <w:tcW w:w="2977" w:type="dxa"/>
            <w:tcBorders>
              <w:top w:val="nil"/>
              <w:left w:val="nil"/>
              <w:bottom w:val="single" w:sz="4" w:space="0" w:color="auto"/>
              <w:right w:val="single" w:sz="8" w:space="0" w:color="auto"/>
            </w:tcBorders>
            <w:shd w:val="clear" w:color="auto" w:fill="auto"/>
            <w:noWrap/>
            <w:hideMark/>
          </w:tcPr>
          <w:p w14:paraId="33078A16" w14:textId="5E72655A" w:rsidR="00442196" w:rsidRPr="00ED23FA" w:rsidRDefault="00442196" w:rsidP="00442196">
            <w:pPr>
              <w:jc w:val="right"/>
              <w:rPr>
                <w:rFonts w:ascii="Cambria" w:hAnsi="Cambria"/>
                <w:noProof/>
                <w:color w:val="000000"/>
                <w:sz w:val="22"/>
                <w:szCs w:val="22"/>
                <w:lang w:val="sr-Latn-BA" w:eastAsia="sr-Latn-BA"/>
              </w:rPr>
            </w:pPr>
            <w:r w:rsidRPr="007E3CA3">
              <w:t>59,37%</w:t>
            </w:r>
          </w:p>
        </w:tc>
      </w:tr>
      <w:tr w:rsidR="00442196" w:rsidRPr="00ED23FA" w14:paraId="1ABA51E6" w14:textId="77777777" w:rsidTr="00E256CD">
        <w:trPr>
          <w:trHeight w:val="300"/>
        </w:trPr>
        <w:tc>
          <w:tcPr>
            <w:tcW w:w="1833" w:type="dxa"/>
            <w:tcBorders>
              <w:top w:val="nil"/>
              <w:left w:val="single" w:sz="8" w:space="0" w:color="auto"/>
              <w:bottom w:val="single" w:sz="4" w:space="0" w:color="auto"/>
              <w:right w:val="single" w:sz="4" w:space="0" w:color="auto"/>
            </w:tcBorders>
            <w:shd w:val="clear" w:color="auto" w:fill="auto"/>
            <w:noWrap/>
            <w:hideMark/>
          </w:tcPr>
          <w:p w14:paraId="6CFC6C0F" w14:textId="542960D2" w:rsidR="00442196" w:rsidRPr="00ED23FA" w:rsidRDefault="00442196" w:rsidP="00442196">
            <w:pPr>
              <w:rPr>
                <w:rFonts w:ascii="Cambria" w:hAnsi="Cambria"/>
                <w:noProof/>
                <w:sz w:val="22"/>
                <w:szCs w:val="22"/>
                <w:lang w:val="sr-Latn-BA" w:eastAsia="sr-Latn-BA"/>
              </w:rPr>
            </w:pPr>
            <w:r w:rsidRPr="007E3CA3">
              <w:t>umjeren</w:t>
            </w:r>
          </w:p>
        </w:tc>
        <w:tc>
          <w:tcPr>
            <w:tcW w:w="2410" w:type="dxa"/>
            <w:tcBorders>
              <w:top w:val="nil"/>
              <w:left w:val="nil"/>
              <w:bottom w:val="single" w:sz="4" w:space="0" w:color="auto"/>
              <w:right w:val="single" w:sz="4" w:space="0" w:color="auto"/>
            </w:tcBorders>
            <w:shd w:val="clear" w:color="auto" w:fill="auto"/>
            <w:noWrap/>
            <w:hideMark/>
          </w:tcPr>
          <w:p w14:paraId="2ACA6181" w14:textId="4E972EF4" w:rsidR="00442196" w:rsidRPr="00ED23FA" w:rsidRDefault="00442196" w:rsidP="00442196">
            <w:pPr>
              <w:jc w:val="right"/>
              <w:rPr>
                <w:rFonts w:ascii="Cambria" w:hAnsi="Cambria"/>
                <w:noProof/>
                <w:sz w:val="22"/>
                <w:szCs w:val="22"/>
                <w:lang w:val="sr-Latn-BA" w:eastAsia="sr-Latn-BA"/>
              </w:rPr>
            </w:pPr>
            <w:r w:rsidRPr="007E3CA3">
              <w:t>115.692</w:t>
            </w:r>
          </w:p>
        </w:tc>
        <w:tc>
          <w:tcPr>
            <w:tcW w:w="2977" w:type="dxa"/>
            <w:tcBorders>
              <w:top w:val="nil"/>
              <w:left w:val="nil"/>
              <w:bottom w:val="single" w:sz="4" w:space="0" w:color="auto"/>
              <w:right w:val="single" w:sz="8" w:space="0" w:color="auto"/>
            </w:tcBorders>
            <w:shd w:val="clear" w:color="auto" w:fill="auto"/>
            <w:noWrap/>
            <w:hideMark/>
          </w:tcPr>
          <w:p w14:paraId="310B54A0" w14:textId="75D3DC37" w:rsidR="00442196" w:rsidRPr="00ED23FA" w:rsidRDefault="00442196" w:rsidP="00442196">
            <w:pPr>
              <w:jc w:val="right"/>
              <w:rPr>
                <w:rFonts w:ascii="Cambria" w:hAnsi="Cambria"/>
                <w:noProof/>
                <w:sz w:val="22"/>
                <w:szCs w:val="22"/>
                <w:lang w:val="sr-Latn-BA" w:eastAsia="sr-Latn-BA"/>
              </w:rPr>
            </w:pPr>
            <w:r w:rsidRPr="007E3CA3">
              <w:t>1,90%</w:t>
            </w:r>
          </w:p>
        </w:tc>
      </w:tr>
      <w:tr w:rsidR="00442196" w:rsidRPr="00ED23FA" w14:paraId="75565B89" w14:textId="77777777" w:rsidTr="00E256CD">
        <w:trPr>
          <w:trHeight w:val="300"/>
        </w:trPr>
        <w:tc>
          <w:tcPr>
            <w:tcW w:w="1833" w:type="dxa"/>
            <w:tcBorders>
              <w:top w:val="nil"/>
              <w:left w:val="single" w:sz="8" w:space="0" w:color="auto"/>
              <w:bottom w:val="single" w:sz="4" w:space="0" w:color="auto"/>
              <w:right w:val="single" w:sz="4" w:space="0" w:color="auto"/>
            </w:tcBorders>
            <w:shd w:val="clear" w:color="auto" w:fill="auto"/>
            <w:noWrap/>
            <w:hideMark/>
          </w:tcPr>
          <w:p w14:paraId="78E49AE0" w14:textId="272DFC91" w:rsidR="00442196" w:rsidRPr="00ED23FA" w:rsidRDefault="00442196" w:rsidP="00442196">
            <w:pPr>
              <w:rPr>
                <w:rFonts w:ascii="Cambria" w:hAnsi="Cambria"/>
                <w:noProof/>
                <w:color w:val="000000"/>
                <w:sz w:val="22"/>
                <w:szCs w:val="22"/>
                <w:lang w:val="sr-Latn-BA" w:eastAsia="sr-Latn-BA"/>
              </w:rPr>
            </w:pPr>
            <w:r w:rsidRPr="007E3CA3">
              <w:t>nizak</w:t>
            </w:r>
          </w:p>
        </w:tc>
        <w:tc>
          <w:tcPr>
            <w:tcW w:w="2410" w:type="dxa"/>
            <w:tcBorders>
              <w:top w:val="nil"/>
              <w:left w:val="nil"/>
              <w:bottom w:val="single" w:sz="4" w:space="0" w:color="auto"/>
              <w:right w:val="single" w:sz="4" w:space="0" w:color="auto"/>
            </w:tcBorders>
            <w:shd w:val="clear" w:color="auto" w:fill="auto"/>
            <w:noWrap/>
            <w:hideMark/>
          </w:tcPr>
          <w:p w14:paraId="751677A9" w14:textId="521A21C6" w:rsidR="00442196" w:rsidRPr="00ED23FA" w:rsidRDefault="00442196" w:rsidP="00442196">
            <w:pPr>
              <w:jc w:val="right"/>
              <w:rPr>
                <w:rFonts w:ascii="Cambria" w:hAnsi="Cambria"/>
                <w:noProof/>
                <w:color w:val="000000"/>
                <w:sz w:val="22"/>
                <w:szCs w:val="22"/>
                <w:lang w:val="sr-Latn-BA" w:eastAsia="sr-Latn-BA"/>
              </w:rPr>
            </w:pPr>
            <w:r w:rsidRPr="007E3CA3">
              <w:t>2.351.920</w:t>
            </w:r>
          </w:p>
        </w:tc>
        <w:tc>
          <w:tcPr>
            <w:tcW w:w="2977" w:type="dxa"/>
            <w:tcBorders>
              <w:top w:val="nil"/>
              <w:left w:val="nil"/>
              <w:bottom w:val="single" w:sz="4" w:space="0" w:color="auto"/>
              <w:right w:val="single" w:sz="8" w:space="0" w:color="auto"/>
            </w:tcBorders>
            <w:shd w:val="clear" w:color="auto" w:fill="auto"/>
            <w:noWrap/>
            <w:hideMark/>
          </w:tcPr>
          <w:p w14:paraId="79F98AFF" w14:textId="27D44168" w:rsidR="00442196" w:rsidRPr="00ED23FA" w:rsidRDefault="00442196" w:rsidP="00442196">
            <w:pPr>
              <w:jc w:val="right"/>
              <w:rPr>
                <w:rFonts w:ascii="Cambria" w:hAnsi="Cambria"/>
                <w:noProof/>
                <w:color w:val="000000"/>
                <w:sz w:val="22"/>
                <w:szCs w:val="22"/>
                <w:lang w:val="sr-Latn-BA" w:eastAsia="sr-Latn-BA"/>
              </w:rPr>
            </w:pPr>
            <w:r w:rsidRPr="007E3CA3">
              <w:t>38,71%</w:t>
            </w:r>
          </w:p>
        </w:tc>
      </w:tr>
      <w:tr w:rsidR="00442196" w:rsidRPr="00442196" w14:paraId="38225A9A" w14:textId="77777777" w:rsidTr="00E256CD">
        <w:trPr>
          <w:trHeight w:val="315"/>
        </w:trPr>
        <w:tc>
          <w:tcPr>
            <w:tcW w:w="1833" w:type="dxa"/>
            <w:tcBorders>
              <w:top w:val="nil"/>
              <w:left w:val="single" w:sz="8" w:space="0" w:color="auto"/>
              <w:bottom w:val="single" w:sz="8" w:space="0" w:color="auto"/>
              <w:right w:val="single" w:sz="4" w:space="0" w:color="auto"/>
            </w:tcBorders>
            <w:shd w:val="clear" w:color="auto" w:fill="auto"/>
            <w:noWrap/>
            <w:hideMark/>
          </w:tcPr>
          <w:p w14:paraId="0D027D33" w14:textId="3FA6D21E" w:rsidR="00442196" w:rsidRPr="00442196" w:rsidRDefault="00442196" w:rsidP="00442196">
            <w:pPr>
              <w:rPr>
                <w:rFonts w:ascii="Cambria" w:hAnsi="Cambria"/>
                <w:b/>
                <w:bCs/>
                <w:noProof/>
                <w:color w:val="000000"/>
                <w:sz w:val="22"/>
                <w:szCs w:val="22"/>
                <w:lang w:val="sr-Latn-BA" w:eastAsia="sr-Latn-BA"/>
              </w:rPr>
            </w:pPr>
            <w:r w:rsidRPr="00442196">
              <w:rPr>
                <w:b/>
                <w:bCs/>
              </w:rPr>
              <w:t>Ukupno</w:t>
            </w:r>
          </w:p>
        </w:tc>
        <w:tc>
          <w:tcPr>
            <w:tcW w:w="2410" w:type="dxa"/>
            <w:tcBorders>
              <w:top w:val="nil"/>
              <w:left w:val="nil"/>
              <w:bottom w:val="single" w:sz="8" w:space="0" w:color="auto"/>
              <w:right w:val="single" w:sz="4" w:space="0" w:color="auto"/>
            </w:tcBorders>
            <w:shd w:val="clear" w:color="auto" w:fill="auto"/>
            <w:noWrap/>
            <w:hideMark/>
          </w:tcPr>
          <w:p w14:paraId="3389CCB1" w14:textId="394B0614" w:rsidR="00442196" w:rsidRPr="00442196" w:rsidRDefault="00442196" w:rsidP="00442196">
            <w:pPr>
              <w:jc w:val="right"/>
              <w:rPr>
                <w:rFonts w:ascii="Cambria" w:hAnsi="Cambria"/>
                <w:b/>
                <w:bCs/>
                <w:noProof/>
                <w:color w:val="000000"/>
                <w:sz w:val="22"/>
                <w:szCs w:val="22"/>
                <w:lang w:val="sr-Latn-BA" w:eastAsia="sr-Latn-BA"/>
              </w:rPr>
            </w:pPr>
            <w:r w:rsidRPr="00442196">
              <w:rPr>
                <w:b/>
                <w:bCs/>
              </w:rPr>
              <w:t>3.607.482</w:t>
            </w:r>
          </w:p>
        </w:tc>
        <w:tc>
          <w:tcPr>
            <w:tcW w:w="2977" w:type="dxa"/>
            <w:tcBorders>
              <w:top w:val="nil"/>
              <w:left w:val="nil"/>
              <w:bottom w:val="single" w:sz="8" w:space="0" w:color="auto"/>
              <w:right w:val="single" w:sz="8" w:space="0" w:color="auto"/>
            </w:tcBorders>
            <w:shd w:val="clear" w:color="auto" w:fill="auto"/>
            <w:noWrap/>
            <w:hideMark/>
          </w:tcPr>
          <w:p w14:paraId="487E80DC" w14:textId="23D4432E" w:rsidR="00442196" w:rsidRPr="00442196" w:rsidRDefault="00442196" w:rsidP="00442196">
            <w:pPr>
              <w:jc w:val="right"/>
              <w:rPr>
                <w:rFonts w:ascii="Cambria" w:hAnsi="Cambria"/>
                <w:b/>
                <w:bCs/>
                <w:noProof/>
                <w:color w:val="000000"/>
                <w:sz w:val="22"/>
                <w:szCs w:val="22"/>
                <w:lang w:val="sr-Latn-BA" w:eastAsia="sr-Latn-BA"/>
              </w:rPr>
            </w:pPr>
            <w:r w:rsidRPr="00442196">
              <w:rPr>
                <w:b/>
                <w:bCs/>
              </w:rPr>
              <w:t>59,37%</w:t>
            </w:r>
          </w:p>
        </w:tc>
      </w:tr>
    </w:tbl>
    <w:p w14:paraId="235B455C" w14:textId="77777777" w:rsidR="00664F2B" w:rsidRPr="00ED23FA" w:rsidRDefault="00664F2B" w:rsidP="00664F2B">
      <w:pPr>
        <w:jc w:val="both"/>
        <w:rPr>
          <w:rFonts w:ascii="Cambria" w:hAnsi="Cambria"/>
          <w:b/>
          <w:bCs/>
          <w:noProof/>
          <w:sz w:val="22"/>
          <w:szCs w:val="22"/>
          <w:lang w:val="sr-Latn-BA"/>
        </w:rPr>
      </w:pPr>
    </w:p>
    <w:p w14:paraId="336685F3" w14:textId="77777777" w:rsidR="00442196" w:rsidRPr="00712402" w:rsidRDefault="00442196" w:rsidP="00442196">
      <w:pPr>
        <w:jc w:val="both"/>
        <w:rPr>
          <w:lang w:val="bs-Latn-BA"/>
        </w:rPr>
      </w:pPr>
      <w:r w:rsidRPr="00712402">
        <w:rPr>
          <w:lang w:val="bs-Latn-BA"/>
        </w:rPr>
        <w:t xml:space="preserve">Kako je </w:t>
      </w:r>
      <w:r>
        <w:rPr>
          <w:lang w:val="bs-Latn-BA"/>
        </w:rPr>
        <w:t xml:space="preserve">visok </w:t>
      </w:r>
      <w:r w:rsidRPr="00712402">
        <w:rPr>
          <w:lang w:val="bs-Latn-BA"/>
        </w:rPr>
        <w:t xml:space="preserve">nivo rizika dominantan, u skladu sa internim procedurama rizik promjene cijena finansijskih instrumenata je </w:t>
      </w:r>
      <w:r>
        <w:rPr>
          <w:lang w:val="bs-Latn-BA"/>
        </w:rPr>
        <w:t>visok</w:t>
      </w:r>
      <w:r w:rsidRPr="00712402">
        <w:rPr>
          <w:lang w:val="bs-Latn-BA"/>
        </w:rPr>
        <w:t>.</w:t>
      </w:r>
    </w:p>
    <w:p w14:paraId="7F2D9453" w14:textId="7DD79459" w:rsidR="00442196" w:rsidRDefault="00442196" w:rsidP="00442196">
      <w:pPr>
        <w:jc w:val="both"/>
      </w:pPr>
      <w:r w:rsidRPr="00712402">
        <w:t>Preporuka: Posebnu pažnju je potrebno obratiti na emiten</w:t>
      </w:r>
      <w:r>
        <w:t xml:space="preserve">te iz Sistema Elektroprivrede RS </w:t>
      </w:r>
      <w:r w:rsidRPr="00251A0E">
        <w:t xml:space="preserve"> </w:t>
      </w:r>
      <w:r w:rsidRPr="00712402">
        <w:t>kod koj</w:t>
      </w:r>
      <w:r>
        <w:t>ih</w:t>
      </w:r>
      <w:r w:rsidRPr="00712402">
        <w:t xml:space="preserve"> je tržišna cijena značajno odstupala u odnosu na posmatrani period od 3</w:t>
      </w:r>
      <w:r>
        <w:t>0</w:t>
      </w:r>
      <w:r w:rsidRPr="00712402">
        <w:t>.</w:t>
      </w:r>
      <w:r>
        <w:t>09</w:t>
      </w:r>
      <w:r w:rsidRPr="00712402">
        <w:t>.20</w:t>
      </w:r>
      <w:r>
        <w:t>23</w:t>
      </w:r>
      <w:r w:rsidRPr="00712402">
        <w:t>. godine.</w:t>
      </w:r>
    </w:p>
    <w:p w14:paraId="52631729" w14:textId="77777777" w:rsidR="00442196" w:rsidRPr="00712402" w:rsidRDefault="00442196" w:rsidP="00442196">
      <w:pPr>
        <w:jc w:val="both"/>
      </w:pPr>
    </w:p>
    <w:p w14:paraId="2528F437" w14:textId="3418C2F0" w:rsidR="00664F2B" w:rsidRPr="00ED23FA" w:rsidRDefault="00664F2B" w:rsidP="00664F2B">
      <w:pPr>
        <w:rPr>
          <w:rFonts w:ascii="Cambria" w:hAnsi="Cambria"/>
          <w:b/>
          <w:bCs/>
          <w:noProof/>
          <w:sz w:val="22"/>
          <w:szCs w:val="22"/>
          <w:lang w:val="sr-Latn-BA"/>
        </w:rPr>
      </w:pPr>
      <w:r w:rsidRPr="00ED23FA">
        <w:rPr>
          <w:rFonts w:ascii="Cambria" w:hAnsi="Cambria"/>
          <w:b/>
          <w:bCs/>
          <w:noProof/>
          <w:sz w:val="22"/>
          <w:szCs w:val="22"/>
          <w:lang w:val="sr-Latn-BA"/>
        </w:rPr>
        <w:t>Valutni rizik</w:t>
      </w:r>
    </w:p>
    <w:p w14:paraId="17EA72D3" w14:textId="77777777" w:rsidR="00664F2B" w:rsidRPr="00ED23FA" w:rsidRDefault="00664F2B" w:rsidP="00664F2B">
      <w:pPr>
        <w:rPr>
          <w:rFonts w:ascii="Cambria" w:hAnsi="Cambria"/>
          <w:b/>
          <w:bCs/>
          <w:noProof/>
          <w:sz w:val="22"/>
          <w:szCs w:val="22"/>
          <w:lang w:val="sr-Latn-BA"/>
        </w:rPr>
      </w:pPr>
    </w:p>
    <w:p w14:paraId="54F3863B" w14:textId="77777777" w:rsidR="00072176" w:rsidRPr="00ED23FA" w:rsidRDefault="00072176" w:rsidP="00072176">
      <w:pPr>
        <w:jc w:val="both"/>
        <w:rPr>
          <w:rFonts w:ascii="Cambria" w:hAnsi="Cambria"/>
          <w:noProof/>
          <w:sz w:val="22"/>
          <w:szCs w:val="22"/>
          <w:lang w:val="sr-Latn-BA"/>
        </w:rPr>
      </w:pPr>
      <w:bookmarkStart w:id="26" w:name="_Hlk61874431"/>
      <w:r w:rsidRPr="00ED23FA">
        <w:rPr>
          <w:rFonts w:ascii="Cambria" w:hAnsi="Cambria"/>
          <w:noProof/>
          <w:sz w:val="22"/>
          <w:szCs w:val="22"/>
          <w:lang w:val="sr-Latn-BA"/>
        </w:rPr>
        <w:t>U skladu sa internom klasifikacijom nivoa rizika, valutni rizik klasifikovan je u tri grupe:</w:t>
      </w:r>
    </w:p>
    <w:p w14:paraId="1D7169B1" w14:textId="77777777" w:rsidR="00072176" w:rsidRPr="00ED23FA" w:rsidRDefault="00072176" w:rsidP="00072176">
      <w:pPr>
        <w:pStyle w:val="ListParagraph"/>
        <w:numPr>
          <w:ilvl w:val="0"/>
          <w:numId w:val="25"/>
        </w:numPr>
        <w:autoSpaceDE w:val="0"/>
        <w:autoSpaceDN w:val="0"/>
        <w:adjustRightInd w:val="0"/>
        <w:jc w:val="both"/>
        <w:rPr>
          <w:rFonts w:ascii="Cambria" w:hAnsi="Cambria"/>
          <w:noProof/>
          <w:sz w:val="22"/>
          <w:szCs w:val="22"/>
          <w:lang w:val="sr-Latn-BA"/>
        </w:rPr>
      </w:pPr>
      <w:r w:rsidRPr="00ED23FA">
        <w:rPr>
          <w:rFonts w:ascii="Cambria" w:hAnsi="Cambria"/>
          <w:noProof/>
          <w:sz w:val="22"/>
          <w:szCs w:val="22"/>
          <w:lang w:val="sr-Latn-BA"/>
        </w:rPr>
        <w:t>Visok nivo rizika -ukoliko se više od 40% imovine fonda nalazi u stranoj valuti</w:t>
      </w:r>
    </w:p>
    <w:p w14:paraId="22F06021" w14:textId="77777777" w:rsidR="00072176" w:rsidRPr="00ED23FA" w:rsidRDefault="00072176" w:rsidP="00072176">
      <w:pPr>
        <w:pStyle w:val="ListParagraph"/>
        <w:numPr>
          <w:ilvl w:val="0"/>
          <w:numId w:val="25"/>
        </w:numPr>
        <w:autoSpaceDE w:val="0"/>
        <w:autoSpaceDN w:val="0"/>
        <w:adjustRightInd w:val="0"/>
        <w:jc w:val="both"/>
        <w:rPr>
          <w:rFonts w:ascii="Cambria" w:hAnsi="Cambria"/>
          <w:noProof/>
          <w:sz w:val="22"/>
          <w:szCs w:val="22"/>
          <w:lang w:val="sr-Latn-BA"/>
        </w:rPr>
      </w:pPr>
      <w:r w:rsidRPr="00ED23FA">
        <w:rPr>
          <w:rFonts w:ascii="Cambria" w:hAnsi="Cambria"/>
          <w:noProof/>
          <w:sz w:val="22"/>
          <w:szCs w:val="22"/>
          <w:lang w:val="sr-Latn-BA"/>
        </w:rPr>
        <w:t>Umjeren nivo rizika -ukoliko se 20-40% imovine fonda nalazi u stranoj valuti</w:t>
      </w:r>
    </w:p>
    <w:p w14:paraId="7AA487A2" w14:textId="77777777" w:rsidR="00072176" w:rsidRPr="00ED23FA" w:rsidRDefault="00072176" w:rsidP="00072176">
      <w:pPr>
        <w:pStyle w:val="ListParagraph"/>
        <w:numPr>
          <w:ilvl w:val="0"/>
          <w:numId w:val="25"/>
        </w:numPr>
        <w:spacing w:after="200" w:line="276" w:lineRule="auto"/>
        <w:jc w:val="both"/>
        <w:rPr>
          <w:rFonts w:ascii="Cambria" w:hAnsi="Cambria"/>
          <w:noProof/>
          <w:sz w:val="22"/>
          <w:szCs w:val="22"/>
          <w:lang w:val="sr-Latn-BA"/>
        </w:rPr>
      </w:pPr>
      <w:r w:rsidRPr="00ED23FA">
        <w:rPr>
          <w:rFonts w:ascii="Cambria" w:hAnsi="Cambria"/>
          <w:noProof/>
          <w:sz w:val="22"/>
          <w:szCs w:val="22"/>
          <w:lang w:val="sr-Latn-BA"/>
        </w:rPr>
        <w:t>Nizak nivo rizika -ukoliko se manje od 20% imovine fonda nalazi u stranoj valuti</w:t>
      </w:r>
    </w:p>
    <w:p w14:paraId="14F45428" w14:textId="37A3BB62" w:rsidR="00072176" w:rsidRPr="00ED23FA" w:rsidRDefault="00072176" w:rsidP="00072176">
      <w:pPr>
        <w:jc w:val="both"/>
        <w:rPr>
          <w:rFonts w:ascii="Cambria" w:hAnsi="Cambria"/>
          <w:noProof/>
          <w:sz w:val="22"/>
          <w:szCs w:val="22"/>
          <w:lang w:val="sr-Latn-BA"/>
        </w:rPr>
      </w:pPr>
      <w:r w:rsidRPr="00ED23FA">
        <w:rPr>
          <w:rFonts w:ascii="Cambria" w:hAnsi="Cambria"/>
          <w:noProof/>
          <w:sz w:val="22"/>
          <w:szCs w:val="22"/>
          <w:lang w:val="sr-Latn-BA"/>
        </w:rPr>
        <w:t>U tabeli prikazani su pregled imovine fonda po valutama</w:t>
      </w:r>
    </w:p>
    <w:p w14:paraId="3865C4AD" w14:textId="77777777" w:rsidR="00072176" w:rsidRPr="00ED23FA" w:rsidRDefault="00072176" w:rsidP="00072176">
      <w:pPr>
        <w:jc w:val="both"/>
        <w:rPr>
          <w:rFonts w:ascii="Cambria" w:hAnsi="Cambria"/>
          <w:noProof/>
          <w:sz w:val="22"/>
          <w:szCs w:val="22"/>
          <w:lang w:val="sr-Latn-BA"/>
        </w:rPr>
      </w:pPr>
    </w:p>
    <w:tbl>
      <w:tblPr>
        <w:tblW w:w="7220" w:type="dxa"/>
        <w:tblLook w:val="04A0" w:firstRow="1" w:lastRow="0" w:firstColumn="1" w:lastColumn="0" w:noHBand="0" w:noVBand="1"/>
      </w:tblPr>
      <w:tblGrid>
        <w:gridCol w:w="2684"/>
        <w:gridCol w:w="2126"/>
        <w:gridCol w:w="2410"/>
      </w:tblGrid>
      <w:tr w:rsidR="00072176" w:rsidRPr="00ED23FA" w14:paraId="48E45340" w14:textId="77777777" w:rsidTr="00CD7A4D">
        <w:trPr>
          <w:trHeight w:val="315"/>
        </w:trPr>
        <w:tc>
          <w:tcPr>
            <w:tcW w:w="268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336F598" w14:textId="77777777" w:rsidR="00072176" w:rsidRPr="00ED23FA" w:rsidRDefault="00072176" w:rsidP="000D5E70">
            <w:pPr>
              <w:rPr>
                <w:rFonts w:ascii="Cambria" w:hAnsi="Cambria"/>
                <w:b/>
                <w:bCs/>
                <w:noProof/>
                <w:color w:val="000000"/>
                <w:sz w:val="22"/>
                <w:szCs w:val="22"/>
                <w:lang w:val="sr-Latn-BA" w:eastAsia="sr-Latn-BA"/>
              </w:rPr>
            </w:pPr>
            <w:r w:rsidRPr="00ED23FA">
              <w:rPr>
                <w:rFonts w:ascii="Cambria" w:hAnsi="Cambria"/>
                <w:b/>
                <w:bCs/>
                <w:noProof/>
                <w:color w:val="000000"/>
                <w:sz w:val="22"/>
                <w:szCs w:val="22"/>
                <w:lang w:val="sr-Latn-BA" w:eastAsia="sr-Latn-BA"/>
              </w:rPr>
              <w:t xml:space="preserve">Imovina </w:t>
            </w:r>
          </w:p>
        </w:tc>
        <w:tc>
          <w:tcPr>
            <w:tcW w:w="2126" w:type="dxa"/>
            <w:tcBorders>
              <w:top w:val="single" w:sz="8" w:space="0" w:color="auto"/>
              <w:left w:val="nil"/>
              <w:bottom w:val="single" w:sz="8" w:space="0" w:color="auto"/>
              <w:right w:val="single" w:sz="8" w:space="0" w:color="auto"/>
            </w:tcBorders>
            <w:shd w:val="clear" w:color="auto" w:fill="auto"/>
            <w:noWrap/>
            <w:vAlign w:val="center"/>
            <w:hideMark/>
          </w:tcPr>
          <w:p w14:paraId="5E788C67" w14:textId="77777777" w:rsidR="00072176" w:rsidRPr="00ED23FA" w:rsidRDefault="00072176" w:rsidP="000D5E70">
            <w:pPr>
              <w:rPr>
                <w:rFonts w:ascii="Cambria" w:hAnsi="Cambria"/>
                <w:b/>
                <w:bCs/>
                <w:noProof/>
                <w:color w:val="000000"/>
                <w:sz w:val="22"/>
                <w:szCs w:val="22"/>
                <w:lang w:val="sr-Latn-BA" w:eastAsia="sr-Latn-BA"/>
              </w:rPr>
            </w:pPr>
            <w:r w:rsidRPr="00ED23FA">
              <w:rPr>
                <w:rFonts w:ascii="Cambria" w:hAnsi="Cambria"/>
                <w:b/>
                <w:bCs/>
                <w:noProof/>
                <w:color w:val="000000"/>
                <w:sz w:val="22"/>
                <w:szCs w:val="22"/>
                <w:lang w:val="sr-Latn-BA" w:eastAsia="sr-Latn-BA"/>
              </w:rPr>
              <w:t>Iznos</w:t>
            </w:r>
          </w:p>
        </w:tc>
        <w:tc>
          <w:tcPr>
            <w:tcW w:w="2410" w:type="dxa"/>
            <w:tcBorders>
              <w:top w:val="single" w:sz="8" w:space="0" w:color="auto"/>
              <w:left w:val="nil"/>
              <w:bottom w:val="single" w:sz="8" w:space="0" w:color="auto"/>
              <w:right w:val="single" w:sz="8" w:space="0" w:color="auto"/>
            </w:tcBorders>
            <w:shd w:val="clear" w:color="auto" w:fill="auto"/>
            <w:noWrap/>
            <w:vAlign w:val="center"/>
            <w:hideMark/>
          </w:tcPr>
          <w:p w14:paraId="51AF307F" w14:textId="77777777" w:rsidR="00072176" w:rsidRPr="00ED23FA" w:rsidRDefault="00072176" w:rsidP="000D5E70">
            <w:pPr>
              <w:rPr>
                <w:rFonts w:ascii="Cambria" w:hAnsi="Cambria"/>
                <w:b/>
                <w:bCs/>
                <w:noProof/>
                <w:color w:val="000000"/>
                <w:sz w:val="22"/>
                <w:szCs w:val="22"/>
                <w:lang w:val="sr-Latn-BA" w:eastAsia="sr-Latn-BA"/>
              </w:rPr>
            </w:pPr>
            <w:r w:rsidRPr="00ED23FA">
              <w:rPr>
                <w:rFonts w:ascii="Cambria" w:hAnsi="Cambria"/>
                <w:b/>
                <w:bCs/>
                <w:noProof/>
                <w:color w:val="000000"/>
                <w:sz w:val="22"/>
                <w:szCs w:val="22"/>
                <w:lang w:val="sr-Latn-BA" w:eastAsia="sr-Latn-BA"/>
              </w:rPr>
              <w:t xml:space="preserve">% </w:t>
            </w:r>
          </w:p>
        </w:tc>
      </w:tr>
      <w:tr w:rsidR="00442196" w:rsidRPr="00ED23FA" w14:paraId="1CAADEE4" w14:textId="77777777" w:rsidTr="00585E60">
        <w:trPr>
          <w:trHeight w:val="315"/>
        </w:trPr>
        <w:tc>
          <w:tcPr>
            <w:tcW w:w="2684" w:type="dxa"/>
            <w:tcBorders>
              <w:top w:val="nil"/>
              <w:left w:val="single" w:sz="8" w:space="0" w:color="auto"/>
              <w:bottom w:val="single" w:sz="8" w:space="0" w:color="auto"/>
              <w:right w:val="single" w:sz="8" w:space="0" w:color="auto"/>
            </w:tcBorders>
            <w:shd w:val="clear" w:color="auto" w:fill="auto"/>
            <w:noWrap/>
            <w:hideMark/>
          </w:tcPr>
          <w:p w14:paraId="7A5A934A" w14:textId="53637D15" w:rsidR="00442196" w:rsidRPr="00ED23FA" w:rsidRDefault="00442196" w:rsidP="00442196">
            <w:pPr>
              <w:rPr>
                <w:rFonts w:ascii="Cambria" w:hAnsi="Cambria"/>
                <w:noProof/>
                <w:color w:val="000000"/>
                <w:sz w:val="22"/>
                <w:szCs w:val="22"/>
                <w:lang w:val="sr-Latn-BA" w:eastAsia="sr-Latn-BA"/>
              </w:rPr>
            </w:pPr>
            <w:r w:rsidRPr="005120FE">
              <w:t>u KM</w:t>
            </w:r>
          </w:p>
        </w:tc>
        <w:tc>
          <w:tcPr>
            <w:tcW w:w="2126" w:type="dxa"/>
            <w:tcBorders>
              <w:top w:val="nil"/>
              <w:left w:val="nil"/>
              <w:bottom w:val="single" w:sz="8" w:space="0" w:color="auto"/>
              <w:right w:val="single" w:sz="8" w:space="0" w:color="auto"/>
            </w:tcBorders>
            <w:shd w:val="clear" w:color="auto" w:fill="auto"/>
            <w:noWrap/>
            <w:hideMark/>
          </w:tcPr>
          <w:p w14:paraId="7FD1844D" w14:textId="024AD172" w:rsidR="00442196" w:rsidRPr="00ED23FA" w:rsidRDefault="00442196" w:rsidP="00442196">
            <w:pPr>
              <w:jc w:val="right"/>
              <w:rPr>
                <w:rFonts w:ascii="Cambria" w:hAnsi="Cambria"/>
                <w:noProof/>
                <w:color w:val="000000"/>
                <w:sz w:val="22"/>
                <w:szCs w:val="22"/>
                <w:lang w:val="sr-Latn-BA" w:eastAsia="sr-Latn-BA"/>
              </w:rPr>
            </w:pPr>
            <w:r w:rsidRPr="005120FE">
              <w:t>6.141.639</w:t>
            </w:r>
          </w:p>
        </w:tc>
        <w:tc>
          <w:tcPr>
            <w:tcW w:w="2410" w:type="dxa"/>
            <w:tcBorders>
              <w:top w:val="nil"/>
              <w:left w:val="nil"/>
              <w:bottom w:val="single" w:sz="8" w:space="0" w:color="auto"/>
              <w:right w:val="single" w:sz="8" w:space="0" w:color="auto"/>
            </w:tcBorders>
            <w:shd w:val="clear" w:color="auto" w:fill="auto"/>
            <w:noWrap/>
            <w:hideMark/>
          </w:tcPr>
          <w:p w14:paraId="23CD7915" w14:textId="5A11CE1C" w:rsidR="00442196" w:rsidRPr="00ED23FA" w:rsidRDefault="00442196" w:rsidP="00442196">
            <w:pPr>
              <w:jc w:val="right"/>
              <w:rPr>
                <w:rFonts w:ascii="Cambria" w:hAnsi="Cambria"/>
                <w:noProof/>
                <w:color w:val="000000"/>
                <w:sz w:val="22"/>
                <w:szCs w:val="22"/>
                <w:lang w:val="sr-Latn-BA" w:eastAsia="sr-Latn-BA"/>
              </w:rPr>
            </w:pPr>
            <w:r w:rsidRPr="005120FE">
              <w:t>99,99%</w:t>
            </w:r>
          </w:p>
        </w:tc>
      </w:tr>
      <w:tr w:rsidR="00442196" w:rsidRPr="00ED23FA" w14:paraId="664FE265" w14:textId="77777777" w:rsidTr="00585E60">
        <w:trPr>
          <w:trHeight w:val="315"/>
        </w:trPr>
        <w:tc>
          <w:tcPr>
            <w:tcW w:w="2684" w:type="dxa"/>
            <w:tcBorders>
              <w:top w:val="nil"/>
              <w:left w:val="single" w:sz="8" w:space="0" w:color="auto"/>
              <w:bottom w:val="single" w:sz="8" w:space="0" w:color="auto"/>
              <w:right w:val="single" w:sz="8" w:space="0" w:color="auto"/>
            </w:tcBorders>
            <w:shd w:val="clear" w:color="auto" w:fill="auto"/>
            <w:noWrap/>
            <w:hideMark/>
          </w:tcPr>
          <w:p w14:paraId="62359682" w14:textId="0BB74D79" w:rsidR="00442196" w:rsidRPr="00ED23FA" w:rsidRDefault="00442196" w:rsidP="00442196">
            <w:pPr>
              <w:rPr>
                <w:rFonts w:ascii="Cambria" w:hAnsi="Cambria"/>
                <w:noProof/>
                <w:color w:val="000000"/>
                <w:sz w:val="22"/>
                <w:szCs w:val="22"/>
                <w:lang w:val="sr-Latn-BA" w:eastAsia="sr-Latn-BA"/>
              </w:rPr>
            </w:pPr>
            <w:r w:rsidRPr="005120FE">
              <w:t>Ostale valute ( EUR )</w:t>
            </w:r>
          </w:p>
        </w:tc>
        <w:tc>
          <w:tcPr>
            <w:tcW w:w="2126" w:type="dxa"/>
            <w:tcBorders>
              <w:top w:val="nil"/>
              <w:left w:val="nil"/>
              <w:bottom w:val="single" w:sz="8" w:space="0" w:color="auto"/>
              <w:right w:val="single" w:sz="8" w:space="0" w:color="auto"/>
            </w:tcBorders>
            <w:shd w:val="clear" w:color="auto" w:fill="auto"/>
            <w:noWrap/>
            <w:hideMark/>
          </w:tcPr>
          <w:p w14:paraId="3CDBF695" w14:textId="00DBDF36" w:rsidR="00442196" w:rsidRPr="00ED23FA" w:rsidRDefault="00442196" w:rsidP="00442196">
            <w:pPr>
              <w:jc w:val="right"/>
              <w:rPr>
                <w:rFonts w:ascii="Cambria" w:hAnsi="Cambria"/>
                <w:noProof/>
                <w:color w:val="000000"/>
                <w:sz w:val="22"/>
                <w:szCs w:val="22"/>
                <w:lang w:val="sr-Latn-BA" w:eastAsia="sr-Latn-BA"/>
              </w:rPr>
            </w:pPr>
            <w:r w:rsidRPr="005120FE">
              <w:t>864</w:t>
            </w:r>
          </w:p>
        </w:tc>
        <w:tc>
          <w:tcPr>
            <w:tcW w:w="2410" w:type="dxa"/>
            <w:tcBorders>
              <w:top w:val="nil"/>
              <w:left w:val="nil"/>
              <w:bottom w:val="single" w:sz="8" w:space="0" w:color="auto"/>
              <w:right w:val="single" w:sz="8" w:space="0" w:color="auto"/>
            </w:tcBorders>
            <w:shd w:val="clear" w:color="auto" w:fill="auto"/>
            <w:noWrap/>
            <w:hideMark/>
          </w:tcPr>
          <w:p w14:paraId="5D8F878C" w14:textId="66C09A83" w:rsidR="00442196" w:rsidRPr="00ED23FA" w:rsidRDefault="00442196" w:rsidP="00442196">
            <w:pPr>
              <w:jc w:val="right"/>
              <w:rPr>
                <w:rFonts w:ascii="Cambria" w:hAnsi="Cambria"/>
                <w:noProof/>
                <w:color w:val="000000"/>
                <w:sz w:val="22"/>
                <w:szCs w:val="22"/>
                <w:lang w:val="sr-Latn-BA" w:eastAsia="sr-Latn-BA"/>
              </w:rPr>
            </w:pPr>
            <w:r w:rsidRPr="005120FE">
              <w:t>0,01%</w:t>
            </w:r>
          </w:p>
        </w:tc>
      </w:tr>
      <w:tr w:rsidR="00442196" w:rsidRPr="00442196" w14:paraId="51093E1E" w14:textId="77777777" w:rsidTr="00585E60">
        <w:trPr>
          <w:trHeight w:val="315"/>
        </w:trPr>
        <w:tc>
          <w:tcPr>
            <w:tcW w:w="2684" w:type="dxa"/>
            <w:tcBorders>
              <w:top w:val="nil"/>
              <w:left w:val="single" w:sz="8" w:space="0" w:color="auto"/>
              <w:bottom w:val="single" w:sz="8" w:space="0" w:color="auto"/>
              <w:right w:val="single" w:sz="8" w:space="0" w:color="auto"/>
            </w:tcBorders>
            <w:shd w:val="clear" w:color="auto" w:fill="auto"/>
            <w:noWrap/>
            <w:hideMark/>
          </w:tcPr>
          <w:p w14:paraId="21AD230C" w14:textId="12C3F54D" w:rsidR="00442196" w:rsidRPr="00442196" w:rsidRDefault="00442196" w:rsidP="00442196">
            <w:pPr>
              <w:rPr>
                <w:rFonts w:ascii="Cambria" w:hAnsi="Cambria"/>
                <w:b/>
                <w:bCs/>
                <w:noProof/>
                <w:color w:val="000000"/>
                <w:sz w:val="22"/>
                <w:szCs w:val="22"/>
                <w:lang w:val="sr-Latn-BA" w:eastAsia="sr-Latn-BA"/>
              </w:rPr>
            </w:pPr>
            <w:r w:rsidRPr="00442196">
              <w:rPr>
                <w:b/>
                <w:bCs/>
              </w:rPr>
              <w:t>Ukupna imovina fonda</w:t>
            </w:r>
          </w:p>
        </w:tc>
        <w:tc>
          <w:tcPr>
            <w:tcW w:w="2126" w:type="dxa"/>
            <w:tcBorders>
              <w:top w:val="nil"/>
              <w:left w:val="nil"/>
              <w:bottom w:val="single" w:sz="8" w:space="0" w:color="auto"/>
              <w:right w:val="single" w:sz="8" w:space="0" w:color="auto"/>
            </w:tcBorders>
            <w:shd w:val="clear" w:color="auto" w:fill="auto"/>
            <w:noWrap/>
            <w:hideMark/>
          </w:tcPr>
          <w:p w14:paraId="0A263B7C" w14:textId="3D6EE231" w:rsidR="00442196" w:rsidRPr="00442196" w:rsidRDefault="00442196" w:rsidP="00442196">
            <w:pPr>
              <w:jc w:val="right"/>
              <w:rPr>
                <w:rFonts w:ascii="Cambria" w:hAnsi="Cambria"/>
                <w:b/>
                <w:bCs/>
                <w:noProof/>
                <w:color w:val="000000"/>
                <w:sz w:val="22"/>
                <w:szCs w:val="22"/>
                <w:lang w:val="sr-Latn-BA" w:eastAsia="sr-Latn-BA"/>
              </w:rPr>
            </w:pPr>
            <w:r w:rsidRPr="00442196">
              <w:rPr>
                <w:b/>
                <w:bCs/>
              </w:rPr>
              <w:t>6.142.503</w:t>
            </w:r>
          </w:p>
        </w:tc>
        <w:tc>
          <w:tcPr>
            <w:tcW w:w="2410" w:type="dxa"/>
            <w:tcBorders>
              <w:top w:val="nil"/>
              <w:left w:val="nil"/>
              <w:bottom w:val="single" w:sz="8" w:space="0" w:color="auto"/>
              <w:right w:val="single" w:sz="8" w:space="0" w:color="auto"/>
            </w:tcBorders>
            <w:shd w:val="clear" w:color="auto" w:fill="auto"/>
            <w:noWrap/>
            <w:hideMark/>
          </w:tcPr>
          <w:p w14:paraId="77C4B965" w14:textId="2903ABBC" w:rsidR="00442196" w:rsidRPr="00442196" w:rsidRDefault="00442196" w:rsidP="00442196">
            <w:pPr>
              <w:jc w:val="right"/>
              <w:rPr>
                <w:rFonts w:ascii="Cambria" w:hAnsi="Cambria"/>
                <w:b/>
                <w:bCs/>
                <w:noProof/>
                <w:color w:val="000000"/>
                <w:sz w:val="22"/>
                <w:szCs w:val="22"/>
                <w:lang w:val="sr-Latn-BA" w:eastAsia="sr-Latn-BA"/>
              </w:rPr>
            </w:pPr>
            <w:r w:rsidRPr="00442196">
              <w:rPr>
                <w:b/>
                <w:bCs/>
              </w:rPr>
              <w:t>100,00%</w:t>
            </w:r>
          </w:p>
        </w:tc>
      </w:tr>
    </w:tbl>
    <w:p w14:paraId="3A4E3628" w14:textId="77777777" w:rsidR="00072176" w:rsidRPr="00442196" w:rsidRDefault="00072176" w:rsidP="00072176">
      <w:pPr>
        <w:jc w:val="both"/>
        <w:rPr>
          <w:rFonts w:ascii="Cambria" w:hAnsi="Cambria"/>
          <w:b/>
          <w:bCs/>
          <w:noProof/>
          <w:sz w:val="22"/>
          <w:szCs w:val="22"/>
          <w:lang w:val="sr-Latn-BA"/>
        </w:rPr>
      </w:pPr>
    </w:p>
    <w:p w14:paraId="1750AE54" w14:textId="4AFB4341" w:rsidR="00ED23FA" w:rsidRDefault="00442196" w:rsidP="00442196">
      <w:pPr>
        <w:jc w:val="both"/>
        <w:rPr>
          <w:rFonts w:ascii="Cambria" w:hAnsi="Cambria"/>
          <w:noProof/>
          <w:sz w:val="22"/>
          <w:szCs w:val="22"/>
          <w:lang w:val="sr-Latn-BA"/>
        </w:rPr>
      </w:pPr>
      <w:r w:rsidRPr="00442196">
        <w:rPr>
          <w:rFonts w:ascii="Cambria" w:hAnsi="Cambria"/>
          <w:noProof/>
          <w:sz w:val="22"/>
          <w:szCs w:val="22"/>
          <w:lang w:val="sr-Latn-BA"/>
        </w:rPr>
        <w:t>U skladu sa internom klasifikacijom nivoa rizika, nivo valutnog rizika je nizak.</w:t>
      </w:r>
    </w:p>
    <w:p w14:paraId="244FF725" w14:textId="77777777" w:rsidR="00442196" w:rsidRPr="00ED23FA" w:rsidRDefault="00442196" w:rsidP="00442196">
      <w:pPr>
        <w:jc w:val="both"/>
        <w:rPr>
          <w:rFonts w:ascii="Cambria" w:hAnsi="Cambria"/>
          <w:noProof/>
          <w:sz w:val="22"/>
          <w:szCs w:val="22"/>
          <w:lang w:val="sr-Latn-BA"/>
        </w:rPr>
      </w:pPr>
    </w:p>
    <w:bookmarkEnd w:id="26"/>
    <w:p w14:paraId="538DAF64" w14:textId="4E146114" w:rsidR="00664F2B" w:rsidRPr="00ED23FA" w:rsidRDefault="00664F2B" w:rsidP="00664F2B">
      <w:pPr>
        <w:rPr>
          <w:rFonts w:ascii="Cambria" w:hAnsi="Cambria"/>
          <w:b/>
          <w:bCs/>
          <w:noProof/>
          <w:sz w:val="22"/>
          <w:szCs w:val="22"/>
          <w:lang w:val="sr-Latn-BA"/>
        </w:rPr>
      </w:pPr>
      <w:r w:rsidRPr="00ED23FA">
        <w:rPr>
          <w:rFonts w:ascii="Cambria" w:hAnsi="Cambria"/>
          <w:b/>
          <w:bCs/>
          <w:noProof/>
          <w:sz w:val="22"/>
          <w:szCs w:val="22"/>
          <w:lang w:val="sr-Latn-BA"/>
        </w:rPr>
        <w:t>Kreditni rizik</w:t>
      </w:r>
    </w:p>
    <w:p w14:paraId="3B00676F" w14:textId="77777777" w:rsidR="00001403" w:rsidRPr="00ED23FA" w:rsidRDefault="00001403" w:rsidP="00664F2B">
      <w:pPr>
        <w:rPr>
          <w:rFonts w:ascii="Cambria" w:hAnsi="Cambria"/>
          <w:b/>
          <w:bCs/>
          <w:noProof/>
          <w:sz w:val="22"/>
          <w:szCs w:val="22"/>
          <w:lang w:val="sr-Latn-BA"/>
        </w:rPr>
      </w:pPr>
    </w:p>
    <w:p w14:paraId="2A3529E9" w14:textId="77777777" w:rsidR="00442196" w:rsidRPr="00442196" w:rsidRDefault="00442196" w:rsidP="00442196">
      <w:pPr>
        <w:jc w:val="both"/>
        <w:rPr>
          <w:rFonts w:ascii="Cambria" w:hAnsi="Cambria"/>
          <w:noProof/>
          <w:sz w:val="22"/>
          <w:szCs w:val="22"/>
          <w:lang w:val="sr-Latn-BA"/>
        </w:rPr>
      </w:pPr>
      <w:r w:rsidRPr="00442196">
        <w:rPr>
          <w:rFonts w:ascii="Cambria" w:hAnsi="Cambria"/>
          <w:noProof/>
          <w:sz w:val="22"/>
          <w:szCs w:val="22"/>
          <w:lang w:val="sr-Latn-BA"/>
        </w:rPr>
        <w:t>Kreditni rizik se odnosi na dužničke hartije od vrijednosti iz portfelja fonda, pri čemu se analizira i prati rizik emitenta te hartije na mogućnost izmirenja svojih obaveza po izdatoj hartiji. Prati se stanje u emitentima koji su izdali dužničke hartije i njihova sposobnost da izmire obaveze po hartijama. Kreditni rizik se klasifikuje u tri grupe:</w:t>
      </w:r>
    </w:p>
    <w:p w14:paraId="5495A67C" w14:textId="77777777" w:rsidR="00442196" w:rsidRPr="00442196" w:rsidRDefault="00442196" w:rsidP="00442196">
      <w:pPr>
        <w:jc w:val="both"/>
        <w:rPr>
          <w:rFonts w:ascii="Cambria" w:hAnsi="Cambria"/>
          <w:noProof/>
          <w:sz w:val="22"/>
          <w:szCs w:val="22"/>
          <w:lang w:val="sr-Latn-BA"/>
        </w:rPr>
      </w:pPr>
      <w:r w:rsidRPr="00442196">
        <w:rPr>
          <w:rFonts w:ascii="Cambria" w:hAnsi="Cambria"/>
          <w:noProof/>
          <w:sz w:val="22"/>
          <w:szCs w:val="22"/>
          <w:lang w:val="sr-Latn-BA"/>
        </w:rPr>
        <w:t>•</w:t>
      </w:r>
      <w:r w:rsidRPr="00442196">
        <w:rPr>
          <w:rFonts w:ascii="Cambria" w:hAnsi="Cambria"/>
          <w:noProof/>
          <w:sz w:val="22"/>
          <w:szCs w:val="22"/>
          <w:lang w:val="sr-Latn-BA"/>
        </w:rPr>
        <w:tab/>
        <w:t xml:space="preserve">Visok nivo rizika -ukoliko  više od 30% potraživanja fonda nije naplaćeno u unaprijed utvrđenom roku </w:t>
      </w:r>
    </w:p>
    <w:p w14:paraId="0C20D0E5" w14:textId="77777777" w:rsidR="00442196" w:rsidRPr="00442196" w:rsidRDefault="00442196" w:rsidP="00442196">
      <w:pPr>
        <w:jc w:val="both"/>
        <w:rPr>
          <w:rFonts w:ascii="Cambria" w:hAnsi="Cambria"/>
          <w:noProof/>
          <w:sz w:val="22"/>
          <w:szCs w:val="22"/>
          <w:lang w:val="sr-Latn-BA"/>
        </w:rPr>
      </w:pPr>
      <w:r w:rsidRPr="00442196">
        <w:rPr>
          <w:rFonts w:ascii="Cambria" w:hAnsi="Cambria"/>
          <w:noProof/>
          <w:sz w:val="22"/>
          <w:szCs w:val="22"/>
          <w:lang w:val="sr-Latn-BA"/>
        </w:rPr>
        <w:t>•</w:t>
      </w:r>
      <w:r w:rsidRPr="00442196">
        <w:rPr>
          <w:rFonts w:ascii="Cambria" w:hAnsi="Cambria"/>
          <w:noProof/>
          <w:sz w:val="22"/>
          <w:szCs w:val="22"/>
          <w:lang w:val="sr-Latn-BA"/>
        </w:rPr>
        <w:tab/>
        <w:t xml:space="preserve">Umjeren nivo rizika -ukoliko  5- 30% potraživanja fonda nije naplaćeno u unaprijed utvrđenom roku </w:t>
      </w:r>
    </w:p>
    <w:p w14:paraId="61FA9F9B" w14:textId="77777777" w:rsidR="00442196" w:rsidRPr="00442196" w:rsidRDefault="00442196" w:rsidP="00442196">
      <w:pPr>
        <w:jc w:val="both"/>
        <w:rPr>
          <w:rFonts w:ascii="Cambria" w:hAnsi="Cambria"/>
          <w:noProof/>
          <w:sz w:val="22"/>
          <w:szCs w:val="22"/>
          <w:lang w:val="sr-Latn-BA"/>
        </w:rPr>
      </w:pPr>
      <w:r w:rsidRPr="00442196">
        <w:rPr>
          <w:rFonts w:ascii="Cambria" w:hAnsi="Cambria"/>
          <w:noProof/>
          <w:sz w:val="22"/>
          <w:szCs w:val="22"/>
          <w:lang w:val="sr-Latn-BA"/>
        </w:rPr>
        <w:t>•</w:t>
      </w:r>
      <w:r w:rsidRPr="00442196">
        <w:rPr>
          <w:rFonts w:ascii="Cambria" w:hAnsi="Cambria"/>
          <w:noProof/>
          <w:sz w:val="22"/>
          <w:szCs w:val="22"/>
          <w:lang w:val="sr-Latn-BA"/>
        </w:rPr>
        <w:tab/>
        <w:t xml:space="preserve">Nizak nivo rizika -ukoliko  manje od 5 % potraživanja fonda nije naplaćeno u unaprijed utvrđenom roku </w:t>
      </w:r>
    </w:p>
    <w:p w14:paraId="66C9E2E9" w14:textId="77777777" w:rsidR="00442196" w:rsidRPr="00442196" w:rsidRDefault="00442196" w:rsidP="00442196">
      <w:pPr>
        <w:jc w:val="both"/>
        <w:rPr>
          <w:rFonts w:ascii="Cambria" w:hAnsi="Cambria"/>
          <w:noProof/>
          <w:sz w:val="22"/>
          <w:szCs w:val="22"/>
          <w:lang w:val="sr-Latn-BA"/>
        </w:rPr>
      </w:pPr>
    </w:p>
    <w:p w14:paraId="591153BA" w14:textId="478C5143" w:rsidR="00442196" w:rsidRDefault="00442196" w:rsidP="00664F2B">
      <w:pPr>
        <w:jc w:val="both"/>
        <w:rPr>
          <w:rFonts w:ascii="Cambria" w:hAnsi="Cambria"/>
          <w:noProof/>
          <w:sz w:val="22"/>
          <w:szCs w:val="22"/>
          <w:lang w:val="sr-Latn-BA"/>
        </w:rPr>
      </w:pPr>
      <w:r w:rsidRPr="00442196">
        <w:rPr>
          <w:rFonts w:ascii="Cambria" w:hAnsi="Cambria"/>
          <w:noProof/>
          <w:sz w:val="22"/>
          <w:szCs w:val="22"/>
          <w:lang w:val="sr-Latn-BA"/>
        </w:rPr>
        <w:lastRenderedPageBreak/>
        <w:t>Fond u svom portfelju nema dužničkih hartija od vrijednosti pa tako ni nenaplaćenih potraživanja po tom osnovu</w:t>
      </w:r>
      <w:r>
        <w:rPr>
          <w:rFonts w:ascii="Cambria" w:hAnsi="Cambria"/>
          <w:noProof/>
          <w:sz w:val="22"/>
          <w:szCs w:val="22"/>
          <w:lang w:val="sr-Latn-BA"/>
        </w:rPr>
        <w:t>.</w:t>
      </w:r>
    </w:p>
    <w:p w14:paraId="2C0982F4" w14:textId="77777777" w:rsidR="008B7ABE" w:rsidRDefault="008B7ABE" w:rsidP="00664F2B">
      <w:pPr>
        <w:jc w:val="both"/>
        <w:rPr>
          <w:rFonts w:ascii="Cambria" w:hAnsi="Cambria"/>
          <w:noProof/>
          <w:sz w:val="22"/>
          <w:szCs w:val="22"/>
          <w:lang w:val="sr-Latn-BA"/>
        </w:rPr>
      </w:pPr>
    </w:p>
    <w:p w14:paraId="58985068" w14:textId="3DFCF32B" w:rsidR="00E53AF4" w:rsidRDefault="00664F2B" w:rsidP="00664F2B">
      <w:pPr>
        <w:jc w:val="both"/>
        <w:rPr>
          <w:rFonts w:ascii="Cambria" w:hAnsi="Cambria"/>
          <w:b/>
          <w:bCs/>
          <w:noProof/>
          <w:sz w:val="22"/>
          <w:szCs w:val="22"/>
          <w:lang w:val="sr-Latn-BA"/>
        </w:rPr>
      </w:pPr>
      <w:r w:rsidRPr="00ED23FA">
        <w:rPr>
          <w:rFonts w:ascii="Cambria" w:hAnsi="Cambria"/>
          <w:b/>
          <w:bCs/>
          <w:noProof/>
          <w:sz w:val="22"/>
          <w:szCs w:val="22"/>
          <w:lang w:val="sr-Latn-BA"/>
        </w:rPr>
        <w:t xml:space="preserve">Rizik likvidnosti </w:t>
      </w:r>
    </w:p>
    <w:p w14:paraId="05A513D5" w14:textId="77777777" w:rsidR="00752125" w:rsidRPr="00ED23FA" w:rsidRDefault="00752125" w:rsidP="00664F2B">
      <w:pPr>
        <w:jc w:val="both"/>
        <w:rPr>
          <w:rFonts w:ascii="Cambria" w:hAnsi="Cambria"/>
          <w:b/>
          <w:bCs/>
          <w:noProof/>
          <w:sz w:val="22"/>
          <w:szCs w:val="22"/>
          <w:lang w:val="sr-Latn-BA"/>
        </w:rPr>
      </w:pPr>
    </w:p>
    <w:p w14:paraId="64EBE4F1" w14:textId="77777777" w:rsidR="00752125" w:rsidRPr="00752125" w:rsidRDefault="00752125" w:rsidP="00752125">
      <w:pPr>
        <w:ind w:firstLine="708"/>
        <w:jc w:val="both"/>
        <w:rPr>
          <w:rFonts w:ascii="Cambria" w:hAnsi="Cambria"/>
          <w:noProof/>
          <w:sz w:val="22"/>
          <w:szCs w:val="22"/>
          <w:lang w:val="sr-Latn-BA"/>
        </w:rPr>
      </w:pPr>
      <w:r w:rsidRPr="00752125">
        <w:rPr>
          <w:rFonts w:ascii="Cambria" w:hAnsi="Cambria"/>
          <w:noProof/>
          <w:sz w:val="22"/>
          <w:szCs w:val="22"/>
          <w:lang w:val="sr-Latn-BA"/>
        </w:rPr>
        <w:t>Zaključno sa 31.12.2023. godine dominantan je visok nivo rizika u odnosu na ostale nivoe rizika, tako da je rizik likvidnosti visok.</w:t>
      </w:r>
    </w:p>
    <w:p w14:paraId="1CA0F5CD" w14:textId="44F0A0C5" w:rsidR="00ED23FA" w:rsidRDefault="00752125" w:rsidP="00752125">
      <w:pPr>
        <w:ind w:firstLine="708"/>
        <w:jc w:val="both"/>
        <w:rPr>
          <w:rFonts w:ascii="Cambria" w:hAnsi="Cambria"/>
          <w:noProof/>
          <w:sz w:val="22"/>
          <w:szCs w:val="22"/>
          <w:lang w:val="sr-Latn-BA"/>
        </w:rPr>
      </w:pPr>
      <w:r w:rsidRPr="00752125">
        <w:rPr>
          <w:rFonts w:ascii="Cambria" w:hAnsi="Cambria"/>
          <w:noProof/>
          <w:sz w:val="22"/>
          <w:szCs w:val="22"/>
          <w:lang w:val="sr-Latn-BA"/>
        </w:rPr>
        <w:t>Trend kretanja rizika likvidnosti zaključno sa 31.12.2023. godine u odnosu na  30.09.2023. godine je negativan  iz razloga što je došlo do povećanja procenta visokog nivoa rizika likvidnosti sa 54,26 % na  59,89%.</w:t>
      </w:r>
    </w:p>
    <w:p w14:paraId="5E5488FF" w14:textId="77777777" w:rsidR="00752125" w:rsidRPr="00ED23FA" w:rsidRDefault="00752125" w:rsidP="00752125">
      <w:pPr>
        <w:ind w:firstLine="708"/>
        <w:jc w:val="both"/>
        <w:rPr>
          <w:rFonts w:ascii="Cambria" w:hAnsi="Cambria"/>
          <w:noProof/>
          <w:sz w:val="22"/>
          <w:szCs w:val="22"/>
          <w:lang w:val="sr-Latn-BA"/>
        </w:rPr>
      </w:pPr>
    </w:p>
    <w:tbl>
      <w:tblPr>
        <w:tblW w:w="6558" w:type="dxa"/>
        <w:tblLook w:val="04A0" w:firstRow="1" w:lastRow="0" w:firstColumn="1" w:lastColumn="0" w:noHBand="0" w:noVBand="1"/>
      </w:tblPr>
      <w:tblGrid>
        <w:gridCol w:w="1458"/>
        <w:gridCol w:w="1327"/>
        <w:gridCol w:w="1223"/>
        <w:gridCol w:w="1327"/>
        <w:gridCol w:w="1223"/>
      </w:tblGrid>
      <w:tr w:rsidR="00752125" w:rsidRPr="00ED23FA" w14:paraId="251E6D62" w14:textId="77777777" w:rsidTr="00BE45E7">
        <w:trPr>
          <w:trHeight w:val="309"/>
        </w:trPr>
        <w:tc>
          <w:tcPr>
            <w:tcW w:w="1458" w:type="dxa"/>
            <w:tcBorders>
              <w:top w:val="single" w:sz="4" w:space="0" w:color="808080"/>
              <w:left w:val="single" w:sz="4" w:space="0" w:color="808080"/>
              <w:bottom w:val="single" w:sz="4" w:space="0" w:color="808080"/>
              <w:right w:val="single" w:sz="4" w:space="0" w:color="808080"/>
            </w:tcBorders>
            <w:shd w:val="clear" w:color="auto" w:fill="auto"/>
            <w:noWrap/>
            <w:hideMark/>
          </w:tcPr>
          <w:p w14:paraId="7BD47375" w14:textId="2E26981A" w:rsidR="00752125" w:rsidRPr="00752125" w:rsidRDefault="00752125" w:rsidP="00752125">
            <w:pPr>
              <w:jc w:val="center"/>
              <w:rPr>
                <w:rFonts w:ascii="Cambria" w:hAnsi="Cambria"/>
                <w:b/>
                <w:bCs/>
                <w:noProof/>
                <w:sz w:val="22"/>
                <w:szCs w:val="22"/>
                <w:lang w:val="sr-Latn-BA"/>
              </w:rPr>
            </w:pPr>
            <w:r w:rsidRPr="00752125">
              <w:rPr>
                <w:b/>
                <w:bCs/>
              </w:rPr>
              <w:t xml:space="preserve"> </w:t>
            </w:r>
          </w:p>
        </w:tc>
        <w:tc>
          <w:tcPr>
            <w:tcW w:w="2550" w:type="dxa"/>
            <w:gridSpan w:val="2"/>
            <w:tcBorders>
              <w:top w:val="single" w:sz="4" w:space="0" w:color="808080"/>
              <w:left w:val="nil"/>
              <w:bottom w:val="single" w:sz="4" w:space="0" w:color="808080"/>
              <w:right w:val="single" w:sz="4" w:space="0" w:color="808080" w:themeColor="background1" w:themeShade="80"/>
            </w:tcBorders>
            <w:shd w:val="clear" w:color="auto" w:fill="auto"/>
            <w:noWrap/>
            <w:hideMark/>
          </w:tcPr>
          <w:p w14:paraId="205E4046" w14:textId="0DA24D7D" w:rsidR="00752125" w:rsidRPr="00752125" w:rsidRDefault="00752125" w:rsidP="00752125">
            <w:pPr>
              <w:jc w:val="center"/>
              <w:rPr>
                <w:rFonts w:ascii="Cambria" w:hAnsi="Cambria"/>
                <w:b/>
                <w:bCs/>
                <w:noProof/>
                <w:sz w:val="22"/>
                <w:szCs w:val="22"/>
                <w:lang w:val="sr-Latn-BA" w:eastAsia="sr-Latn-RS"/>
              </w:rPr>
            </w:pPr>
            <w:r w:rsidRPr="00752125">
              <w:rPr>
                <w:b/>
                <w:bCs/>
              </w:rPr>
              <w:t>31.12.2023</w:t>
            </w:r>
          </w:p>
        </w:tc>
        <w:tc>
          <w:tcPr>
            <w:tcW w:w="25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5AD47F24" w14:textId="1D379E7B" w:rsidR="00752125" w:rsidRPr="00752125" w:rsidRDefault="00752125" w:rsidP="00752125">
            <w:pPr>
              <w:jc w:val="center"/>
              <w:rPr>
                <w:rFonts w:ascii="Cambria" w:hAnsi="Cambria"/>
                <w:b/>
                <w:bCs/>
                <w:noProof/>
                <w:sz w:val="22"/>
                <w:szCs w:val="22"/>
                <w:lang w:val="sr-Latn-BA" w:eastAsia="sr-Latn-RS"/>
              </w:rPr>
            </w:pPr>
            <w:r w:rsidRPr="00752125">
              <w:rPr>
                <w:b/>
                <w:bCs/>
              </w:rPr>
              <w:t>30.9.2023</w:t>
            </w:r>
          </w:p>
        </w:tc>
      </w:tr>
      <w:tr w:rsidR="00752125" w:rsidRPr="00ED23FA" w14:paraId="1C20A997" w14:textId="77777777" w:rsidTr="00B17702">
        <w:trPr>
          <w:trHeight w:val="475"/>
        </w:trPr>
        <w:tc>
          <w:tcPr>
            <w:tcW w:w="0" w:type="auto"/>
            <w:tcBorders>
              <w:top w:val="nil"/>
              <w:left w:val="single" w:sz="4" w:space="0" w:color="808080"/>
              <w:bottom w:val="single" w:sz="4" w:space="0" w:color="808080"/>
              <w:right w:val="single" w:sz="4" w:space="0" w:color="808080"/>
            </w:tcBorders>
            <w:shd w:val="clear" w:color="auto" w:fill="auto"/>
            <w:noWrap/>
            <w:hideMark/>
          </w:tcPr>
          <w:p w14:paraId="1B571242" w14:textId="77E4915F" w:rsidR="00752125" w:rsidRPr="00752125" w:rsidRDefault="00752125" w:rsidP="00752125">
            <w:pPr>
              <w:jc w:val="center"/>
              <w:rPr>
                <w:rFonts w:ascii="Cambria" w:hAnsi="Cambria"/>
                <w:b/>
                <w:bCs/>
                <w:noProof/>
                <w:sz w:val="22"/>
                <w:szCs w:val="22"/>
                <w:lang w:val="sr-Latn-BA" w:eastAsia="sr-Latn-RS"/>
              </w:rPr>
            </w:pPr>
            <w:r w:rsidRPr="00752125">
              <w:rPr>
                <w:b/>
                <w:bCs/>
              </w:rPr>
              <w:t>Nivo rizika</w:t>
            </w:r>
          </w:p>
        </w:tc>
        <w:tc>
          <w:tcPr>
            <w:tcW w:w="1327" w:type="dxa"/>
            <w:tcBorders>
              <w:top w:val="nil"/>
              <w:left w:val="nil"/>
              <w:bottom w:val="single" w:sz="4" w:space="0" w:color="808080"/>
              <w:right w:val="single" w:sz="4" w:space="0" w:color="808080"/>
            </w:tcBorders>
            <w:shd w:val="clear" w:color="auto" w:fill="auto"/>
            <w:noWrap/>
            <w:hideMark/>
          </w:tcPr>
          <w:p w14:paraId="766436A7" w14:textId="0FA5E129" w:rsidR="00752125" w:rsidRPr="00752125" w:rsidRDefault="00752125" w:rsidP="00752125">
            <w:pPr>
              <w:jc w:val="center"/>
              <w:rPr>
                <w:rFonts w:ascii="Cambria" w:hAnsi="Cambria"/>
                <w:b/>
                <w:bCs/>
                <w:noProof/>
                <w:sz w:val="22"/>
                <w:szCs w:val="22"/>
                <w:lang w:val="sr-Latn-BA" w:eastAsia="sr-Latn-RS"/>
              </w:rPr>
            </w:pPr>
            <w:r w:rsidRPr="00752125">
              <w:rPr>
                <w:b/>
                <w:bCs/>
              </w:rPr>
              <w:t>Iznos</w:t>
            </w:r>
          </w:p>
        </w:tc>
        <w:tc>
          <w:tcPr>
            <w:tcW w:w="1223" w:type="dxa"/>
            <w:tcBorders>
              <w:top w:val="nil"/>
              <w:left w:val="nil"/>
              <w:bottom w:val="single" w:sz="4" w:space="0" w:color="808080"/>
              <w:right w:val="single" w:sz="4" w:space="0" w:color="808080" w:themeColor="background1" w:themeShade="80"/>
            </w:tcBorders>
            <w:shd w:val="clear" w:color="auto" w:fill="auto"/>
            <w:noWrap/>
            <w:hideMark/>
          </w:tcPr>
          <w:p w14:paraId="7D91AC36" w14:textId="5EF6314F" w:rsidR="00752125" w:rsidRPr="00752125" w:rsidRDefault="00752125" w:rsidP="00752125">
            <w:pPr>
              <w:jc w:val="center"/>
              <w:rPr>
                <w:rFonts w:ascii="Cambria" w:hAnsi="Cambria"/>
                <w:b/>
                <w:bCs/>
                <w:noProof/>
                <w:sz w:val="22"/>
                <w:szCs w:val="22"/>
                <w:lang w:val="sr-Latn-BA" w:eastAsia="sr-Latn-RS"/>
              </w:rPr>
            </w:pPr>
            <w:r w:rsidRPr="00752125">
              <w:rPr>
                <w:b/>
                <w:bCs/>
              </w:rPr>
              <w:t>%</w:t>
            </w:r>
          </w:p>
        </w:tc>
        <w:tc>
          <w:tcPr>
            <w:tcW w:w="13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58888415" w14:textId="7EB2BD4B" w:rsidR="00752125" w:rsidRPr="00752125" w:rsidRDefault="00752125" w:rsidP="00752125">
            <w:pPr>
              <w:jc w:val="center"/>
              <w:rPr>
                <w:rFonts w:ascii="Cambria" w:hAnsi="Cambria"/>
                <w:b/>
                <w:bCs/>
                <w:noProof/>
                <w:sz w:val="22"/>
                <w:szCs w:val="22"/>
                <w:lang w:val="sr-Latn-BA" w:eastAsia="sr-Latn-RS"/>
              </w:rPr>
            </w:pPr>
            <w:r w:rsidRPr="00752125">
              <w:rPr>
                <w:b/>
                <w:bCs/>
              </w:rPr>
              <w:t>Iznos</w:t>
            </w:r>
          </w:p>
        </w:tc>
        <w:tc>
          <w:tcPr>
            <w:tcW w:w="122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08400C33" w14:textId="7B8F617D" w:rsidR="00752125" w:rsidRPr="00752125" w:rsidRDefault="00752125" w:rsidP="00752125">
            <w:pPr>
              <w:jc w:val="center"/>
              <w:rPr>
                <w:rFonts w:ascii="Cambria" w:hAnsi="Cambria"/>
                <w:b/>
                <w:bCs/>
                <w:noProof/>
                <w:sz w:val="22"/>
                <w:szCs w:val="22"/>
                <w:lang w:val="sr-Latn-BA" w:eastAsia="sr-Latn-RS"/>
              </w:rPr>
            </w:pPr>
            <w:r w:rsidRPr="00752125">
              <w:rPr>
                <w:b/>
                <w:bCs/>
              </w:rPr>
              <w:t>%</w:t>
            </w:r>
          </w:p>
        </w:tc>
      </w:tr>
      <w:tr w:rsidR="00752125" w:rsidRPr="00ED23FA" w14:paraId="7CF88F2B" w14:textId="77777777" w:rsidTr="004E213D">
        <w:trPr>
          <w:trHeight w:val="309"/>
        </w:trPr>
        <w:tc>
          <w:tcPr>
            <w:tcW w:w="0" w:type="auto"/>
            <w:tcBorders>
              <w:top w:val="nil"/>
              <w:left w:val="single" w:sz="4" w:space="0" w:color="808080"/>
              <w:bottom w:val="single" w:sz="4" w:space="0" w:color="808080"/>
              <w:right w:val="single" w:sz="4" w:space="0" w:color="808080"/>
            </w:tcBorders>
            <w:shd w:val="clear" w:color="auto" w:fill="auto"/>
            <w:noWrap/>
            <w:hideMark/>
          </w:tcPr>
          <w:p w14:paraId="2C16CE03" w14:textId="679D9C5D" w:rsidR="00752125" w:rsidRPr="00ED23FA" w:rsidRDefault="00752125" w:rsidP="00752125">
            <w:pPr>
              <w:rPr>
                <w:rFonts w:ascii="Cambria" w:hAnsi="Cambria"/>
                <w:noProof/>
                <w:sz w:val="22"/>
                <w:szCs w:val="22"/>
                <w:lang w:val="sr-Latn-BA" w:eastAsia="sr-Latn-RS"/>
              </w:rPr>
            </w:pPr>
            <w:r w:rsidRPr="00A83C07">
              <w:t>nizak</w:t>
            </w:r>
          </w:p>
        </w:tc>
        <w:tc>
          <w:tcPr>
            <w:tcW w:w="1327" w:type="dxa"/>
            <w:tcBorders>
              <w:top w:val="nil"/>
              <w:left w:val="nil"/>
              <w:bottom w:val="single" w:sz="4" w:space="0" w:color="808080"/>
              <w:right w:val="single" w:sz="4" w:space="0" w:color="808080"/>
            </w:tcBorders>
            <w:shd w:val="clear" w:color="auto" w:fill="auto"/>
            <w:noWrap/>
          </w:tcPr>
          <w:p w14:paraId="01EA1FDC" w14:textId="0DDFB068" w:rsidR="00752125" w:rsidRPr="00ED23FA" w:rsidRDefault="00752125" w:rsidP="00752125">
            <w:pPr>
              <w:jc w:val="right"/>
              <w:rPr>
                <w:rFonts w:ascii="Cambria" w:hAnsi="Cambria"/>
                <w:noProof/>
                <w:sz w:val="22"/>
                <w:szCs w:val="22"/>
                <w:lang w:val="sr-Latn-BA" w:eastAsia="sr-Latn-RS"/>
              </w:rPr>
            </w:pPr>
            <w:r w:rsidRPr="00A83C07">
              <w:t>1.847.852</w:t>
            </w:r>
          </w:p>
        </w:tc>
        <w:tc>
          <w:tcPr>
            <w:tcW w:w="1223" w:type="dxa"/>
            <w:tcBorders>
              <w:top w:val="nil"/>
              <w:left w:val="nil"/>
              <w:bottom w:val="single" w:sz="4" w:space="0" w:color="808080"/>
              <w:right w:val="single" w:sz="4" w:space="0" w:color="808080" w:themeColor="background1" w:themeShade="80"/>
            </w:tcBorders>
            <w:shd w:val="clear" w:color="auto" w:fill="auto"/>
            <w:noWrap/>
          </w:tcPr>
          <w:p w14:paraId="0DD4FB70" w14:textId="7FBED66A" w:rsidR="00752125" w:rsidRPr="00ED23FA" w:rsidRDefault="00752125" w:rsidP="00752125">
            <w:pPr>
              <w:jc w:val="right"/>
              <w:rPr>
                <w:rFonts w:ascii="Cambria" w:hAnsi="Cambria"/>
                <w:noProof/>
                <w:sz w:val="22"/>
                <w:szCs w:val="22"/>
                <w:lang w:val="sr-Latn-BA" w:eastAsia="sr-Latn-RS"/>
              </w:rPr>
            </w:pPr>
            <w:r w:rsidRPr="00A83C07">
              <w:t>30,08%</w:t>
            </w:r>
          </w:p>
        </w:tc>
        <w:tc>
          <w:tcPr>
            <w:tcW w:w="13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3EBEBA3A" w14:textId="17AA6797" w:rsidR="00752125" w:rsidRPr="00ED23FA" w:rsidRDefault="00752125" w:rsidP="00752125">
            <w:pPr>
              <w:jc w:val="right"/>
              <w:rPr>
                <w:rFonts w:ascii="Cambria" w:hAnsi="Cambria"/>
                <w:noProof/>
                <w:sz w:val="22"/>
                <w:szCs w:val="22"/>
                <w:lang w:val="sr-Latn-BA" w:eastAsia="sr-Latn-RS"/>
              </w:rPr>
            </w:pPr>
            <w:r w:rsidRPr="00A83C07">
              <w:t>1.915.184</w:t>
            </w:r>
          </w:p>
        </w:tc>
        <w:tc>
          <w:tcPr>
            <w:tcW w:w="122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35FB18F0" w14:textId="733F7A66" w:rsidR="00752125" w:rsidRPr="00ED23FA" w:rsidRDefault="00752125" w:rsidP="00752125">
            <w:pPr>
              <w:jc w:val="right"/>
              <w:rPr>
                <w:rFonts w:ascii="Cambria" w:hAnsi="Cambria"/>
                <w:noProof/>
                <w:sz w:val="22"/>
                <w:szCs w:val="22"/>
                <w:lang w:val="sr-Latn-BA" w:eastAsia="sr-Latn-RS"/>
              </w:rPr>
            </w:pPr>
            <w:r w:rsidRPr="00A83C07">
              <w:t>38,57%</w:t>
            </w:r>
          </w:p>
        </w:tc>
      </w:tr>
      <w:tr w:rsidR="00752125" w:rsidRPr="00ED23FA" w14:paraId="00B6A699" w14:textId="77777777" w:rsidTr="004E213D">
        <w:trPr>
          <w:trHeight w:val="309"/>
        </w:trPr>
        <w:tc>
          <w:tcPr>
            <w:tcW w:w="0" w:type="auto"/>
            <w:tcBorders>
              <w:top w:val="nil"/>
              <w:left w:val="single" w:sz="4" w:space="0" w:color="808080"/>
              <w:bottom w:val="single" w:sz="4" w:space="0" w:color="808080"/>
              <w:right w:val="single" w:sz="4" w:space="0" w:color="808080"/>
            </w:tcBorders>
            <w:shd w:val="clear" w:color="auto" w:fill="auto"/>
            <w:noWrap/>
            <w:hideMark/>
          </w:tcPr>
          <w:p w14:paraId="6699589C" w14:textId="05BD5481" w:rsidR="00752125" w:rsidRPr="00ED23FA" w:rsidRDefault="00752125" w:rsidP="00752125">
            <w:pPr>
              <w:rPr>
                <w:rFonts w:ascii="Cambria" w:hAnsi="Cambria"/>
                <w:noProof/>
                <w:sz w:val="22"/>
                <w:szCs w:val="22"/>
                <w:lang w:val="sr-Latn-BA" w:eastAsia="sr-Latn-RS"/>
              </w:rPr>
            </w:pPr>
            <w:r w:rsidRPr="00A83C07">
              <w:t>umjeren</w:t>
            </w:r>
          </w:p>
        </w:tc>
        <w:tc>
          <w:tcPr>
            <w:tcW w:w="1327" w:type="dxa"/>
            <w:tcBorders>
              <w:top w:val="nil"/>
              <w:left w:val="nil"/>
              <w:bottom w:val="single" w:sz="4" w:space="0" w:color="808080"/>
              <w:right w:val="single" w:sz="4" w:space="0" w:color="808080"/>
            </w:tcBorders>
            <w:shd w:val="clear" w:color="auto" w:fill="auto"/>
            <w:noWrap/>
          </w:tcPr>
          <w:p w14:paraId="23E93968" w14:textId="2D2D050B" w:rsidR="00752125" w:rsidRPr="00ED23FA" w:rsidRDefault="00752125" w:rsidP="00752125">
            <w:pPr>
              <w:jc w:val="right"/>
              <w:rPr>
                <w:rFonts w:ascii="Cambria" w:hAnsi="Cambria"/>
                <w:noProof/>
                <w:sz w:val="22"/>
                <w:szCs w:val="22"/>
                <w:lang w:val="sr-Latn-BA" w:eastAsia="sr-Latn-RS"/>
              </w:rPr>
            </w:pPr>
            <w:r w:rsidRPr="00A83C07">
              <w:t>616.187</w:t>
            </w:r>
          </w:p>
        </w:tc>
        <w:tc>
          <w:tcPr>
            <w:tcW w:w="1223" w:type="dxa"/>
            <w:tcBorders>
              <w:top w:val="nil"/>
              <w:left w:val="nil"/>
              <w:bottom w:val="single" w:sz="4" w:space="0" w:color="808080"/>
              <w:right w:val="single" w:sz="4" w:space="0" w:color="808080" w:themeColor="background1" w:themeShade="80"/>
            </w:tcBorders>
            <w:shd w:val="clear" w:color="auto" w:fill="auto"/>
            <w:noWrap/>
          </w:tcPr>
          <w:p w14:paraId="454C115D" w14:textId="056C1DE5" w:rsidR="00752125" w:rsidRPr="00ED23FA" w:rsidRDefault="00752125" w:rsidP="00752125">
            <w:pPr>
              <w:jc w:val="right"/>
              <w:rPr>
                <w:rFonts w:ascii="Cambria" w:hAnsi="Cambria"/>
                <w:noProof/>
                <w:sz w:val="22"/>
                <w:szCs w:val="22"/>
                <w:lang w:val="sr-Latn-BA" w:eastAsia="sr-Latn-RS"/>
              </w:rPr>
            </w:pPr>
            <w:r w:rsidRPr="00A83C07">
              <w:t>10,03%</w:t>
            </w:r>
          </w:p>
        </w:tc>
        <w:tc>
          <w:tcPr>
            <w:tcW w:w="13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1242FAAC" w14:textId="2A559F5B" w:rsidR="00752125" w:rsidRPr="00ED23FA" w:rsidRDefault="00752125" w:rsidP="00752125">
            <w:pPr>
              <w:jc w:val="right"/>
              <w:rPr>
                <w:rFonts w:ascii="Cambria" w:hAnsi="Cambria"/>
                <w:noProof/>
                <w:sz w:val="22"/>
                <w:szCs w:val="22"/>
                <w:lang w:val="sr-Latn-BA" w:eastAsia="sr-Latn-RS"/>
              </w:rPr>
            </w:pPr>
            <w:r w:rsidRPr="00A83C07">
              <w:t>355.882</w:t>
            </w:r>
          </w:p>
        </w:tc>
        <w:tc>
          <w:tcPr>
            <w:tcW w:w="122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2E9762D1" w14:textId="7737C7B2" w:rsidR="00752125" w:rsidRPr="00ED23FA" w:rsidRDefault="00752125" w:rsidP="00752125">
            <w:pPr>
              <w:jc w:val="right"/>
              <w:rPr>
                <w:rFonts w:ascii="Cambria" w:hAnsi="Cambria"/>
                <w:noProof/>
                <w:sz w:val="22"/>
                <w:szCs w:val="22"/>
                <w:lang w:val="sr-Latn-BA" w:eastAsia="sr-Latn-RS"/>
              </w:rPr>
            </w:pPr>
            <w:r w:rsidRPr="00A83C07">
              <w:t>7,17%</w:t>
            </w:r>
          </w:p>
        </w:tc>
      </w:tr>
      <w:tr w:rsidR="00752125" w:rsidRPr="00ED23FA" w14:paraId="2AB1A761" w14:textId="77777777" w:rsidTr="004E213D">
        <w:trPr>
          <w:trHeight w:val="309"/>
        </w:trPr>
        <w:tc>
          <w:tcPr>
            <w:tcW w:w="0" w:type="auto"/>
            <w:tcBorders>
              <w:top w:val="nil"/>
              <w:left w:val="single" w:sz="4" w:space="0" w:color="808080"/>
              <w:bottom w:val="single" w:sz="4" w:space="0" w:color="808080"/>
              <w:right w:val="single" w:sz="4" w:space="0" w:color="808080"/>
            </w:tcBorders>
            <w:shd w:val="clear" w:color="auto" w:fill="auto"/>
            <w:noWrap/>
            <w:hideMark/>
          </w:tcPr>
          <w:p w14:paraId="7A21F7AC" w14:textId="1F262231" w:rsidR="00752125" w:rsidRPr="00ED23FA" w:rsidRDefault="00752125" w:rsidP="00752125">
            <w:pPr>
              <w:rPr>
                <w:rFonts w:ascii="Cambria" w:hAnsi="Cambria"/>
                <w:noProof/>
                <w:sz w:val="22"/>
                <w:szCs w:val="22"/>
                <w:lang w:val="sr-Latn-BA" w:eastAsia="sr-Latn-RS"/>
              </w:rPr>
            </w:pPr>
            <w:r w:rsidRPr="00A83C07">
              <w:t>visok</w:t>
            </w:r>
          </w:p>
        </w:tc>
        <w:tc>
          <w:tcPr>
            <w:tcW w:w="1327" w:type="dxa"/>
            <w:tcBorders>
              <w:top w:val="nil"/>
              <w:left w:val="nil"/>
              <w:bottom w:val="single" w:sz="4" w:space="0" w:color="808080"/>
              <w:right w:val="single" w:sz="4" w:space="0" w:color="808080"/>
            </w:tcBorders>
            <w:shd w:val="clear" w:color="auto" w:fill="auto"/>
            <w:noWrap/>
          </w:tcPr>
          <w:p w14:paraId="04277541" w14:textId="67762AA8" w:rsidR="00752125" w:rsidRPr="00ED23FA" w:rsidRDefault="00752125" w:rsidP="00752125">
            <w:pPr>
              <w:jc w:val="right"/>
              <w:rPr>
                <w:rFonts w:ascii="Cambria" w:hAnsi="Cambria"/>
                <w:noProof/>
                <w:sz w:val="22"/>
                <w:szCs w:val="22"/>
                <w:lang w:val="sr-Latn-BA" w:eastAsia="sr-Latn-RS"/>
              </w:rPr>
            </w:pPr>
            <w:r w:rsidRPr="00A83C07">
              <w:t>3.678.465</w:t>
            </w:r>
          </w:p>
        </w:tc>
        <w:tc>
          <w:tcPr>
            <w:tcW w:w="1223" w:type="dxa"/>
            <w:tcBorders>
              <w:top w:val="nil"/>
              <w:left w:val="nil"/>
              <w:bottom w:val="single" w:sz="4" w:space="0" w:color="808080"/>
              <w:right w:val="single" w:sz="4" w:space="0" w:color="808080" w:themeColor="background1" w:themeShade="80"/>
            </w:tcBorders>
            <w:shd w:val="clear" w:color="auto" w:fill="auto"/>
            <w:noWrap/>
          </w:tcPr>
          <w:p w14:paraId="78C9EFB0" w14:textId="70CD0994" w:rsidR="00752125" w:rsidRPr="00ED23FA" w:rsidRDefault="00752125" w:rsidP="00752125">
            <w:pPr>
              <w:jc w:val="right"/>
              <w:rPr>
                <w:rFonts w:ascii="Cambria" w:hAnsi="Cambria"/>
                <w:noProof/>
                <w:sz w:val="22"/>
                <w:szCs w:val="22"/>
                <w:lang w:val="sr-Latn-BA" w:eastAsia="sr-Latn-RS"/>
              </w:rPr>
            </w:pPr>
            <w:r w:rsidRPr="00A83C07">
              <w:t>59,89%</w:t>
            </w:r>
          </w:p>
        </w:tc>
        <w:tc>
          <w:tcPr>
            <w:tcW w:w="13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75FD322A" w14:textId="56B00CC5" w:rsidR="00752125" w:rsidRPr="00ED23FA" w:rsidRDefault="00752125" w:rsidP="00752125">
            <w:pPr>
              <w:jc w:val="right"/>
              <w:rPr>
                <w:rFonts w:ascii="Cambria" w:hAnsi="Cambria"/>
                <w:noProof/>
                <w:sz w:val="22"/>
                <w:szCs w:val="22"/>
                <w:lang w:val="sr-Latn-BA" w:eastAsia="sr-Latn-RS"/>
              </w:rPr>
            </w:pPr>
            <w:r w:rsidRPr="00A83C07">
              <w:t>2.693.770</w:t>
            </w:r>
          </w:p>
        </w:tc>
        <w:tc>
          <w:tcPr>
            <w:tcW w:w="122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0D7A5F96" w14:textId="40F2737B" w:rsidR="00752125" w:rsidRPr="00ED23FA" w:rsidRDefault="00752125" w:rsidP="00752125">
            <w:pPr>
              <w:jc w:val="right"/>
              <w:rPr>
                <w:rFonts w:ascii="Cambria" w:hAnsi="Cambria"/>
                <w:noProof/>
                <w:sz w:val="22"/>
                <w:szCs w:val="22"/>
                <w:lang w:val="sr-Latn-BA" w:eastAsia="sr-Latn-RS"/>
              </w:rPr>
            </w:pPr>
            <w:r w:rsidRPr="00A83C07">
              <w:t>54,26%</w:t>
            </w:r>
          </w:p>
        </w:tc>
      </w:tr>
      <w:tr w:rsidR="00752125" w:rsidRPr="00ED23FA" w14:paraId="40BB0CE6" w14:textId="77777777" w:rsidTr="004E213D">
        <w:trPr>
          <w:trHeight w:val="309"/>
        </w:trPr>
        <w:tc>
          <w:tcPr>
            <w:tcW w:w="0" w:type="auto"/>
            <w:tcBorders>
              <w:top w:val="nil"/>
              <w:left w:val="single" w:sz="4" w:space="0" w:color="808080"/>
              <w:bottom w:val="single" w:sz="4" w:space="0" w:color="808080"/>
              <w:right w:val="single" w:sz="4" w:space="0" w:color="808080"/>
            </w:tcBorders>
            <w:shd w:val="clear" w:color="auto" w:fill="auto"/>
            <w:noWrap/>
            <w:hideMark/>
          </w:tcPr>
          <w:p w14:paraId="7C6EFC51" w14:textId="61AB594B" w:rsidR="00752125" w:rsidRPr="00752125" w:rsidRDefault="00752125" w:rsidP="00752125">
            <w:pPr>
              <w:rPr>
                <w:rFonts w:ascii="Cambria" w:hAnsi="Cambria"/>
                <w:b/>
                <w:bCs/>
                <w:noProof/>
                <w:sz w:val="22"/>
                <w:szCs w:val="22"/>
                <w:lang w:val="sr-Latn-BA" w:eastAsia="sr-Latn-RS"/>
              </w:rPr>
            </w:pPr>
            <w:r w:rsidRPr="00752125">
              <w:rPr>
                <w:b/>
                <w:bCs/>
              </w:rPr>
              <w:t>Ukupno</w:t>
            </w:r>
          </w:p>
        </w:tc>
        <w:tc>
          <w:tcPr>
            <w:tcW w:w="1327" w:type="dxa"/>
            <w:tcBorders>
              <w:top w:val="nil"/>
              <w:left w:val="nil"/>
              <w:bottom w:val="single" w:sz="4" w:space="0" w:color="808080"/>
              <w:right w:val="single" w:sz="4" w:space="0" w:color="808080"/>
            </w:tcBorders>
            <w:shd w:val="clear" w:color="auto" w:fill="auto"/>
            <w:noWrap/>
          </w:tcPr>
          <w:p w14:paraId="48D2A596" w14:textId="2077D723" w:rsidR="00752125" w:rsidRPr="00ED23FA" w:rsidRDefault="00752125" w:rsidP="00752125">
            <w:pPr>
              <w:jc w:val="right"/>
              <w:rPr>
                <w:rFonts w:ascii="Cambria" w:hAnsi="Cambria"/>
                <w:b/>
                <w:bCs/>
                <w:noProof/>
                <w:sz w:val="22"/>
                <w:szCs w:val="22"/>
                <w:lang w:val="sr-Latn-BA" w:eastAsia="sr-Latn-RS"/>
              </w:rPr>
            </w:pPr>
            <w:r w:rsidRPr="00A83C07">
              <w:t>6.142.503</w:t>
            </w:r>
          </w:p>
        </w:tc>
        <w:tc>
          <w:tcPr>
            <w:tcW w:w="1223" w:type="dxa"/>
            <w:tcBorders>
              <w:top w:val="nil"/>
              <w:left w:val="nil"/>
              <w:bottom w:val="single" w:sz="4" w:space="0" w:color="808080"/>
              <w:right w:val="single" w:sz="4" w:space="0" w:color="808080" w:themeColor="background1" w:themeShade="80"/>
            </w:tcBorders>
            <w:shd w:val="clear" w:color="auto" w:fill="auto"/>
            <w:noWrap/>
          </w:tcPr>
          <w:p w14:paraId="54275690" w14:textId="7D1B2E2A" w:rsidR="00752125" w:rsidRPr="00ED23FA" w:rsidRDefault="00752125" w:rsidP="00752125">
            <w:pPr>
              <w:jc w:val="right"/>
              <w:rPr>
                <w:rFonts w:ascii="Cambria" w:hAnsi="Cambria"/>
                <w:b/>
                <w:bCs/>
                <w:noProof/>
                <w:sz w:val="22"/>
                <w:szCs w:val="22"/>
                <w:lang w:val="sr-Latn-BA" w:eastAsia="sr-Latn-RS"/>
              </w:rPr>
            </w:pPr>
            <w:r w:rsidRPr="00A83C07">
              <w:t>100,00%</w:t>
            </w:r>
          </w:p>
        </w:tc>
        <w:tc>
          <w:tcPr>
            <w:tcW w:w="13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0430C1CF" w14:textId="6C44F58A" w:rsidR="00752125" w:rsidRPr="00ED23FA" w:rsidRDefault="00752125" w:rsidP="00752125">
            <w:pPr>
              <w:jc w:val="right"/>
              <w:rPr>
                <w:rFonts w:ascii="Cambria" w:hAnsi="Cambria"/>
                <w:b/>
                <w:bCs/>
                <w:noProof/>
                <w:sz w:val="22"/>
                <w:szCs w:val="22"/>
                <w:lang w:val="sr-Latn-BA" w:eastAsia="sr-Latn-RS"/>
              </w:rPr>
            </w:pPr>
            <w:r w:rsidRPr="00A83C07">
              <w:t>4.964.835</w:t>
            </w:r>
          </w:p>
        </w:tc>
        <w:tc>
          <w:tcPr>
            <w:tcW w:w="122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5D87E077" w14:textId="29CB039D" w:rsidR="00752125" w:rsidRPr="00ED23FA" w:rsidRDefault="00752125" w:rsidP="00752125">
            <w:pPr>
              <w:jc w:val="right"/>
              <w:rPr>
                <w:rFonts w:ascii="Cambria" w:hAnsi="Cambria"/>
                <w:b/>
                <w:bCs/>
                <w:noProof/>
                <w:sz w:val="22"/>
                <w:szCs w:val="22"/>
                <w:lang w:val="sr-Latn-BA" w:eastAsia="sr-Latn-RS"/>
              </w:rPr>
            </w:pPr>
            <w:r w:rsidRPr="00A83C07">
              <w:t>100,00%</w:t>
            </w:r>
          </w:p>
        </w:tc>
      </w:tr>
    </w:tbl>
    <w:p w14:paraId="1624A3D7" w14:textId="77777777" w:rsidR="00055F25" w:rsidRPr="00ED23FA" w:rsidRDefault="00055F25" w:rsidP="00D75D9C">
      <w:pPr>
        <w:rPr>
          <w:rFonts w:ascii="Cambria" w:hAnsi="Cambria"/>
          <w:b/>
          <w:bCs/>
          <w:noProof/>
          <w:color w:val="7030A0"/>
          <w:sz w:val="22"/>
          <w:szCs w:val="22"/>
          <w:lang w:val="sr-Latn-BA"/>
        </w:rPr>
      </w:pPr>
    </w:p>
    <w:p w14:paraId="737666C6" w14:textId="1A42818B" w:rsidR="00FD39C8" w:rsidRDefault="00664F2B" w:rsidP="00D75D9C">
      <w:pPr>
        <w:rPr>
          <w:rFonts w:ascii="Cambria" w:hAnsi="Cambria"/>
          <w:b/>
          <w:bCs/>
          <w:noProof/>
          <w:sz w:val="22"/>
          <w:szCs w:val="22"/>
          <w:lang w:val="sr-Latn-BA"/>
        </w:rPr>
      </w:pPr>
      <w:r w:rsidRPr="00A13C71">
        <w:rPr>
          <w:rFonts w:ascii="Cambria" w:hAnsi="Cambria"/>
          <w:b/>
          <w:bCs/>
          <w:noProof/>
          <w:sz w:val="22"/>
          <w:szCs w:val="22"/>
          <w:lang w:val="sr-Latn-BA"/>
        </w:rPr>
        <w:t>Rizik koncentracije</w:t>
      </w:r>
    </w:p>
    <w:p w14:paraId="047075FC" w14:textId="77777777" w:rsidR="00C548E1" w:rsidRPr="00A13C71" w:rsidRDefault="00C548E1" w:rsidP="00D75D9C">
      <w:pPr>
        <w:rPr>
          <w:rFonts w:ascii="Cambria" w:hAnsi="Cambria"/>
          <w:b/>
          <w:bCs/>
          <w:noProof/>
          <w:sz w:val="22"/>
          <w:szCs w:val="22"/>
          <w:lang w:val="sr-Latn-BA"/>
        </w:rPr>
      </w:pPr>
    </w:p>
    <w:p w14:paraId="634D58C7" w14:textId="77777777" w:rsidR="00752125" w:rsidRPr="00752125" w:rsidRDefault="00752125" w:rsidP="00752125">
      <w:pPr>
        <w:jc w:val="both"/>
        <w:rPr>
          <w:rFonts w:ascii="Cambria" w:hAnsi="Cambria"/>
          <w:noProof/>
          <w:sz w:val="22"/>
          <w:szCs w:val="22"/>
          <w:lang w:val="sr-Latn-BA"/>
        </w:rPr>
      </w:pPr>
      <w:r w:rsidRPr="00752125">
        <w:rPr>
          <w:rFonts w:ascii="Cambria" w:hAnsi="Cambria"/>
          <w:noProof/>
          <w:sz w:val="22"/>
          <w:szCs w:val="22"/>
          <w:lang w:val="sr-Latn-BA"/>
        </w:rPr>
        <w:t>U skladu sa internom klasifikacijom nivoa rizika, rizik koncentracije se klasifikuje u tri grupe, i to:</w:t>
      </w:r>
    </w:p>
    <w:p w14:paraId="2953A721" w14:textId="77777777" w:rsidR="00752125" w:rsidRPr="00752125" w:rsidRDefault="00752125" w:rsidP="00752125">
      <w:pPr>
        <w:jc w:val="both"/>
        <w:rPr>
          <w:rFonts w:ascii="Cambria" w:hAnsi="Cambria"/>
          <w:noProof/>
          <w:sz w:val="22"/>
          <w:szCs w:val="22"/>
          <w:lang w:val="sr-Latn-BA"/>
        </w:rPr>
      </w:pPr>
    </w:p>
    <w:p w14:paraId="093F78DB" w14:textId="77777777" w:rsidR="00752125" w:rsidRPr="00752125" w:rsidRDefault="00752125" w:rsidP="00752125">
      <w:pPr>
        <w:jc w:val="both"/>
        <w:rPr>
          <w:rFonts w:ascii="Cambria" w:hAnsi="Cambria"/>
          <w:noProof/>
          <w:sz w:val="22"/>
          <w:szCs w:val="22"/>
          <w:lang w:val="sr-Latn-BA"/>
        </w:rPr>
      </w:pPr>
      <w:r w:rsidRPr="00752125">
        <w:rPr>
          <w:rFonts w:ascii="Cambria" w:hAnsi="Cambria"/>
          <w:noProof/>
          <w:sz w:val="22"/>
          <w:szCs w:val="22"/>
          <w:lang w:val="sr-Latn-BA"/>
        </w:rPr>
        <w:t xml:space="preserve">• Visok nivo rizika –ukoliko se više od 20% neto vrijednosti imovine fonda uloženo u jednog emitenta ili više od 40% u jedan sektor privrede. </w:t>
      </w:r>
    </w:p>
    <w:p w14:paraId="630C1132" w14:textId="77777777" w:rsidR="00752125" w:rsidRPr="00752125" w:rsidRDefault="00752125" w:rsidP="00752125">
      <w:pPr>
        <w:jc w:val="both"/>
        <w:rPr>
          <w:rFonts w:ascii="Cambria" w:hAnsi="Cambria"/>
          <w:noProof/>
          <w:sz w:val="22"/>
          <w:szCs w:val="22"/>
          <w:lang w:val="sr-Latn-BA"/>
        </w:rPr>
      </w:pPr>
      <w:r w:rsidRPr="00752125">
        <w:rPr>
          <w:rFonts w:ascii="Cambria" w:hAnsi="Cambria"/>
          <w:noProof/>
          <w:sz w:val="22"/>
          <w:szCs w:val="22"/>
          <w:lang w:val="sr-Latn-BA"/>
        </w:rPr>
        <w:t>• Umjeren nivo rizika -  ukoliko je 10-20% neto vrijednosti imovine fonda uloženo u jednog emitenta ili 25- 40% u jedan sektor privrede.</w:t>
      </w:r>
    </w:p>
    <w:p w14:paraId="60FC8860" w14:textId="77777777" w:rsidR="00752125" w:rsidRPr="00752125" w:rsidRDefault="00752125" w:rsidP="00752125">
      <w:pPr>
        <w:jc w:val="both"/>
        <w:rPr>
          <w:rFonts w:ascii="Cambria" w:hAnsi="Cambria"/>
          <w:noProof/>
          <w:sz w:val="22"/>
          <w:szCs w:val="22"/>
          <w:lang w:val="sr-Latn-BA"/>
        </w:rPr>
      </w:pPr>
      <w:r w:rsidRPr="00752125">
        <w:rPr>
          <w:rFonts w:ascii="Cambria" w:hAnsi="Cambria"/>
          <w:noProof/>
          <w:sz w:val="22"/>
          <w:szCs w:val="22"/>
          <w:lang w:val="sr-Latn-BA"/>
        </w:rPr>
        <w:t>• Nizak nivo rizika- ukoliko je manje od 10% neto vrijednosti imovine fonda uloženo u jednog emitenta ili manje od 25% u jedan sektor privrede.</w:t>
      </w:r>
    </w:p>
    <w:p w14:paraId="5308A337" w14:textId="77777777" w:rsidR="00752125" w:rsidRPr="00752125" w:rsidRDefault="00752125" w:rsidP="00752125">
      <w:pPr>
        <w:jc w:val="both"/>
        <w:rPr>
          <w:rFonts w:ascii="Cambria" w:hAnsi="Cambria"/>
          <w:noProof/>
          <w:sz w:val="22"/>
          <w:szCs w:val="22"/>
          <w:lang w:val="sr-Latn-BA"/>
        </w:rPr>
      </w:pPr>
    </w:p>
    <w:p w14:paraId="4468A080" w14:textId="77777777" w:rsidR="00752125" w:rsidRPr="00752125" w:rsidRDefault="00752125" w:rsidP="00752125">
      <w:pPr>
        <w:jc w:val="both"/>
        <w:rPr>
          <w:rFonts w:ascii="Cambria" w:hAnsi="Cambria"/>
          <w:noProof/>
          <w:sz w:val="22"/>
          <w:szCs w:val="22"/>
          <w:lang w:val="sr-Latn-BA"/>
        </w:rPr>
      </w:pPr>
      <w:r w:rsidRPr="00752125">
        <w:rPr>
          <w:rFonts w:ascii="Cambria" w:hAnsi="Cambria"/>
          <w:noProof/>
          <w:sz w:val="22"/>
          <w:szCs w:val="22"/>
          <w:lang w:val="sr-Latn-BA"/>
        </w:rPr>
        <w:t>Imajući u vidu da je učešće emitenta Telekom Srpske a.d  Banjaluka 29,16% u neto vrijednosti imovine fonda, kao i da je 59,04 % neto vrijednosti imovine fonda uloženo u  jedan sektor privrede - Proizvodnja i snabdijevanje el. energijom i gasom, u skladu sa internom klasifikacijom nivoa rizika, rizik koncentracije je visok.</w:t>
      </w:r>
    </w:p>
    <w:p w14:paraId="5AF485F6" w14:textId="77777777" w:rsidR="00752125" w:rsidRDefault="00752125" w:rsidP="00752125">
      <w:pPr>
        <w:jc w:val="both"/>
        <w:rPr>
          <w:rFonts w:ascii="Cambria" w:hAnsi="Cambria"/>
          <w:noProof/>
          <w:sz w:val="22"/>
          <w:szCs w:val="22"/>
          <w:lang w:val="sr-Latn-BA"/>
        </w:rPr>
      </w:pPr>
      <w:r w:rsidRPr="00752125">
        <w:rPr>
          <w:rFonts w:ascii="Cambria" w:hAnsi="Cambria"/>
          <w:noProof/>
          <w:sz w:val="22"/>
          <w:szCs w:val="22"/>
          <w:lang w:val="sr-Latn-BA"/>
        </w:rPr>
        <w:t>Preporuka: Prodajom dijela akcija emitenta Telekom Srpske a.d. Banjaluka i dijela akcija emitenata iz sistema Elektroprivrede RS, stiču se uslovi sa smanjivanje rizika koncentracije .</w:t>
      </w:r>
    </w:p>
    <w:p w14:paraId="0AA951D7" w14:textId="77777777" w:rsidR="00752125" w:rsidRDefault="00752125" w:rsidP="00752125">
      <w:pPr>
        <w:jc w:val="both"/>
        <w:rPr>
          <w:rFonts w:ascii="Cambria" w:hAnsi="Cambria"/>
          <w:noProof/>
          <w:sz w:val="22"/>
          <w:szCs w:val="22"/>
          <w:lang w:val="sr-Latn-BA"/>
        </w:rPr>
      </w:pPr>
    </w:p>
    <w:p w14:paraId="60C0EA92" w14:textId="71C416BD" w:rsidR="00664F2B" w:rsidRDefault="00664F2B" w:rsidP="00752125">
      <w:pPr>
        <w:jc w:val="both"/>
        <w:rPr>
          <w:rFonts w:ascii="Cambria" w:hAnsi="Cambria"/>
          <w:b/>
          <w:bCs/>
          <w:noProof/>
          <w:sz w:val="22"/>
          <w:szCs w:val="22"/>
          <w:lang w:val="sr-Latn-BA"/>
        </w:rPr>
      </w:pPr>
      <w:r w:rsidRPr="00A13C71">
        <w:rPr>
          <w:rFonts w:ascii="Cambria" w:hAnsi="Cambria"/>
          <w:b/>
          <w:bCs/>
          <w:noProof/>
          <w:sz w:val="22"/>
          <w:szCs w:val="22"/>
          <w:lang w:val="sr-Latn-BA"/>
        </w:rPr>
        <w:t>Rizik otkupa udjela</w:t>
      </w:r>
    </w:p>
    <w:p w14:paraId="47C96D3B" w14:textId="77777777" w:rsidR="00C548E1" w:rsidRDefault="00C548E1" w:rsidP="00664F2B">
      <w:pPr>
        <w:jc w:val="both"/>
        <w:rPr>
          <w:rFonts w:ascii="Cambria" w:hAnsi="Cambria"/>
          <w:b/>
          <w:bCs/>
          <w:noProof/>
          <w:sz w:val="22"/>
          <w:szCs w:val="22"/>
          <w:lang w:val="sr-Latn-BA"/>
        </w:rPr>
      </w:pPr>
    </w:p>
    <w:p w14:paraId="46408C62" w14:textId="77777777" w:rsidR="00664F2B" w:rsidRPr="00A13C71" w:rsidRDefault="00664F2B" w:rsidP="00C548E1">
      <w:pPr>
        <w:jc w:val="both"/>
        <w:rPr>
          <w:rFonts w:ascii="Cambria" w:eastAsia="Calibri" w:hAnsi="Cambria"/>
          <w:noProof/>
          <w:sz w:val="22"/>
          <w:szCs w:val="22"/>
          <w:lang w:val="sr-Latn-BA"/>
        </w:rPr>
      </w:pPr>
      <w:r w:rsidRPr="00A13C71">
        <w:rPr>
          <w:rFonts w:ascii="Cambria" w:eastAsia="Calibri" w:hAnsi="Cambria"/>
          <w:noProof/>
          <w:sz w:val="22"/>
          <w:szCs w:val="22"/>
          <w:lang w:val="sr-Latn-BA"/>
        </w:rPr>
        <w:t>Rizik otkupa udjela predstavlja rizik nemogućnosti isplate po osnovu dospjelih zahtjeva za otkup udjela od strane vlasnika udjela. Prilikom izračunavanja rizika otkupa udjela, Društvo procjenjuje vrijednost imovine fondova koju je moguće unovčiti u rokovima od 30, 90 i 180 dana.</w:t>
      </w:r>
    </w:p>
    <w:p w14:paraId="35565C86" w14:textId="77777777" w:rsidR="00664F2B" w:rsidRPr="00A13C71" w:rsidRDefault="00664F2B" w:rsidP="00664F2B">
      <w:pPr>
        <w:rPr>
          <w:rFonts w:ascii="Cambria" w:hAnsi="Cambria"/>
          <w:noProof/>
          <w:color w:val="7030A0"/>
          <w:sz w:val="22"/>
          <w:szCs w:val="22"/>
          <w:lang w:val="sr-Latn-BA"/>
        </w:rPr>
      </w:pPr>
    </w:p>
    <w:tbl>
      <w:tblPr>
        <w:tblW w:w="9054" w:type="dxa"/>
        <w:tblLook w:val="04A0" w:firstRow="1" w:lastRow="0" w:firstColumn="1" w:lastColumn="0" w:noHBand="0" w:noVBand="1"/>
      </w:tblPr>
      <w:tblGrid>
        <w:gridCol w:w="4695"/>
        <w:gridCol w:w="1453"/>
        <w:gridCol w:w="1453"/>
        <w:gridCol w:w="1453"/>
      </w:tblGrid>
      <w:tr w:rsidR="00664F2B" w:rsidRPr="00A13C71" w14:paraId="2D1BC0C1" w14:textId="77777777" w:rsidTr="00DA0A7F">
        <w:trPr>
          <w:trHeight w:val="207"/>
        </w:trPr>
        <w:tc>
          <w:tcPr>
            <w:tcW w:w="4695" w:type="dxa"/>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14:paraId="4D28611D" w14:textId="77777777" w:rsidR="00664F2B" w:rsidRPr="00A13C71" w:rsidRDefault="00664F2B" w:rsidP="00DA0A7F">
            <w:pPr>
              <w:rPr>
                <w:rFonts w:ascii="Cambria" w:hAnsi="Cambria"/>
                <w:b/>
                <w:bCs/>
                <w:noProof/>
                <w:sz w:val="22"/>
                <w:szCs w:val="22"/>
                <w:lang w:val="sr-Latn-BA" w:eastAsia="sr-Latn-RS"/>
              </w:rPr>
            </w:pPr>
            <w:r w:rsidRPr="00A13C71">
              <w:rPr>
                <w:rFonts w:ascii="Cambria" w:hAnsi="Cambria"/>
                <w:b/>
                <w:bCs/>
                <w:noProof/>
                <w:sz w:val="22"/>
                <w:szCs w:val="22"/>
                <w:lang w:val="sr-Latn-BA" w:eastAsia="sr-Latn-RS"/>
              </w:rPr>
              <w:t> </w:t>
            </w:r>
          </w:p>
        </w:tc>
        <w:tc>
          <w:tcPr>
            <w:tcW w:w="1453" w:type="dxa"/>
            <w:tcBorders>
              <w:top w:val="single" w:sz="4" w:space="0" w:color="808080"/>
              <w:left w:val="nil"/>
              <w:bottom w:val="single" w:sz="4" w:space="0" w:color="808080"/>
              <w:right w:val="single" w:sz="4" w:space="0" w:color="808080"/>
            </w:tcBorders>
            <w:shd w:val="clear" w:color="auto" w:fill="auto"/>
            <w:noWrap/>
            <w:vAlign w:val="center"/>
            <w:hideMark/>
          </w:tcPr>
          <w:p w14:paraId="2122669C" w14:textId="77777777" w:rsidR="00664F2B" w:rsidRPr="00A13C71" w:rsidRDefault="00664F2B" w:rsidP="00DA0A7F">
            <w:pPr>
              <w:jc w:val="center"/>
              <w:rPr>
                <w:rFonts w:ascii="Cambria" w:hAnsi="Cambria"/>
                <w:b/>
                <w:bCs/>
                <w:noProof/>
                <w:sz w:val="22"/>
                <w:szCs w:val="22"/>
                <w:lang w:val="sr-Latn-BA" w:eastAsia="sr-Latn-RS"/>
              </w:rPr>
            </w:pPr>
            <w:r w:rsidRPr="00A13C71">
              <w:rPr>
                <w:rFonts w:ascii="Cambria" w:hAnsi="Cambria"/>
                <w:b/>
                <w:bCs/>
                <w:noProof/>
                <w:sz w:val="22"/>
                <w:szCs w:val="22"/>
                <w:lang w:val="sr-Latn-BA" w:eastAsia="sr-Latn-RS"/>
              </w:rPr>
              <w:t>Period 30 dana</w:t>
            </w:r>
          </w:p>
        </w:tc>
        <w:tc>
          <w:tcPr>
            <w:tcW w:w="1453" w:type="dxa"/>
            <w:tcBorders>
              <w:top w:val="single" w:sz="4" w:space="0" w:color="808080"/>
              <w:left w:val="nil"/>
              <w:bottom w:val="single" w:sz="4" w:space="0" w:color="808080"/>
              <w:right w:val="single" w:sz="4" w:space="0" w:color="808080"/>
            </w:tcBorders>
            <w:shd w:val="clear" w:color="auto" w:fill="auto"/>
            <w:noWrap/>
            <w:vAlign w:val="center"/>
            <w:hideMark/>
          </w:tcPr>
          <w:p w14:paraId="3FC736AE" w14:textId="77777777" w:rsidR="00664F2B" w:rsidRPr="00A13C71" w:rsidRDefault="00664F2B" w:rsidP="00DA0A7F">
            <w:pPr>
              <w:jc w:val="center"/>
              <w:rPr>
                <w:rFonts w:ascii="Cambria" w:hAnsi="Cambria"/>
                <w:b/>
                <w:bCs/>
                <w:noProof/>
                <w:sz w:val="22"/>
                <w:szCs w:val="22"/>
                <w:lang w:val="sr-Latn-BA" w:eastAsia="sr-Latn-RS"/>
              </w:rPr>
            </w:pPr>
            <w:r w:rsidRPr="00A13C71">
              <w:rPr>
                <w:rFonts w:ascii="Cambria" w:hAnsi="Cambria"/>
                <w:b/>
                <w:bCs/>
                <w:noProof/>
                <w:sz w:val="22"/>
                <w:szCs w:val="22"/>
                <w:lang w:val="sr-Latn-BA" w:eastAsia="sr-Latn-RS"/>
              </w:rPr>
              <w:t>Period 90 dana</w:t>
            </w:r>
          </w:p>
        </w:tc>
        <w:tc>
          <w:tcPr>
            <w:tcW w:w="1453" w:type="dxa"/>
            <w:tcBorders>
              <w:top w:val="single" w:sz="4" w:space="0" w:color="808080"/>
              <w:left w:val="nil"/>
              <w:bottom w:val="single" w:sz="4" w:space="0" w:color="808080"/>
              <w:right w:val="single" w:sz="4" w:space="0" w:color="808080"/>
            </w:tcBorders>
            <w:shd w:val="clear" w:color="auto" w:fill="auto"/>
            <w:noWrap/>
            <w:vAlign w:val="center"/>
            <w:hideMark/>
          </w:tcPr>
          <w:p w14:paraId="58897A0A" w14:textId="77777777" w:rsidR="00664F2B" w:rsidRPr="00A13C71" w:rsidRDefault="00664F2B" w:rsidP="00DA0A7F">
            <w:pPr>
              <w:jc w:val="center"/>
              <w:rPr>
                <w:rFonts w:ascii="Cambria" w:hAnsi="Cambria"/>
                <w:b/>
                <w:bCs/>
                <w:noProof/>
                <w:sz w:val="22"/>
                <w:szCs w:val="22"/>
                <w:lang w:val="sr-Latn-BA" w:eastAsia="sr-Latn-RS"/>
              </w:rPr>
            </w:pPr>
            <w:r w:rsidRPr="00A13C71">
              <w:rPr>
                <w:rFonts w:ascii="Cambria" w:hAnsi="Cambria"/>
                <w:b/>
                <w:bCs/>
                <w:noProof/>
                <w:sz w:val="22"/>
                <w:szCs w:val="22"/>
                <w:lang w:val="sr-Latn-BA" w:eastAsia="sr-Latn-RS"/>
              </w:rPr>
              <w:t>Period 180 dana</w:t>
            </w:r>
          </w:p>
        </w:tc>
      </w:tr>
      <w:tr w:rsidR="00752125" w:rsidRPr="00A13C71" w14:paraId="0896C988" w14:textId="77777777" w:rsidTr="00A9186B">
        <w:trPr>
          <w:trHeight w:val="291"/>
        </w:trPr>
        <w:tc>
          <w:tcPr>
            <w:tcW w:w="4695" w:type="dxa"/>
            <w:tcBorders>
              <w:top w:val="nil"/>
              <w:left w:val="single" w:sz="4" w:space="0" w:color="808080"/>
              <w:bottom w:val="single" w:sz="4" w:space="0" w:color="808080"/>
              <w:right w:val="single" w:sz="4" w:space="0" w:color="808080"/>
            </w:tcBorders>
            <w:shd w:val="clear" w:color="auto" w:fill="auto"/>
            <w:noWrap/>
            <w:hideMark/>
          </w:tcPr>
          <w:p w14:paraId="1CBE6DE7" w14:textId="343B703F" w:rsidR="00752125" w:rsidRPr="00A13C71" w:rsidRDefault="00752125" w:rsidP="00752125">
            <w:pPr>
              <w:rPr>
                <w:rFonts w:ascii="Cambria" w:hAnsi="Cambria"/>
                <w:noProof/>
                <w:sz w:val="22"/>
                <w:szCs w:val="22"/>
                <w:lang w:val="sr-Latn-BA" w:eastAsia="sr-Latn-RS"/>
              </w:rPr>
            </w:pPr>
            <w:r w:rsidRPr="007D7269">
              <w:t>Procijenjena vrijednost likvidne imovine</w:t>
            </w:r>
          </w:p>
        </w:tc>
        <w:tc>
          <w:tcPr>
            <w:tcW w:w="1453" w:type="dxa"/>
            <w:tcBorders>
              <w:top w:val="nil"/>
              <w:left w:val="nil"/>
              <w:bottom w:val="single" w:sz="4" w:space="0" w:color="808080"/>
              <w:right w:val="single" w:sz="4" w:space="0" w:color="808080"/>
            </w:tcBorders>
            <w:shd w:val="clear" w:color="auto" w:fill="auto"/>
            <w:noWrap/>
          </w:tcPr>
          <w:p w14:paraId="508AFCD3" w14:textId="31A1D0E5" w:rsidR="00752125" w:rsidRPr="00A13C71" w:rsidRDefault="00752125" w:rsidP="00752125">
            <w:pPr>
              <w:jc w:val="right"/>
              <w:rPr>
                <w:rFonts w:ascii="Cambria" w:hAnsi="Cambria"/>
                <w:noProof/>
                <w:color w:val="7030A0"/>
                <w:sz w:val="22"/>
                <w:szCs w:val="22"/>
                <w:lang w:val="sr-Latn-BA" w:eastAsia="sr-Latn-RS"/>
              </w:rPr>
            </w:pPr>
            <w:r w:rsidRPr="007D7269">
              <w:t>709.079</w:t>
            </w:r>
          </w:p>
        </w:tc>
        <w:tc>
          <w:tcPr>
            <w:tcW w:w="1453" w:type="dxa"/>
            <w:tcBorders>
              <w:top w:val="nil"/>
              <w:left w:val="nil"/>
              <w:bottom w:val="single" w:sz="4" w:space="0" w:color="808080"/>
              <w:right w:val="single" w:sz="4" w:space="0" w:color="808080"/>
            </w:tcBorders>
            <w:shd w:val="clear" w:color="auto" w:fill="auto"/>
            <w:noWrap/>
          </w:tcPr>
          <w:p w14:paraId="7F12168C" w14:textId="19A7D9A9" w:rsidR="00752125" w:rsidRPr="00A13C71" w:rsidRDefault="00752125" w:rsidP="00752125">
            <w:pPr>
              <w:jc w:val="right"/>
              <w:rPr>
                <w:rFonts w:ascii="Cambria" w:hAnsi="Cambria"/>
                <w:noProof/>
                <w:color w:val="7030A0"/>
                <w:sz w:val="22"/>
                <w:szCs w:val="22"/>
                <w:lang w:val="sr-Latn-BA" w:eastAsia="sr-Latn-RS"/>
              </w:rPr>
            </w:pPr>
            <w:r w:rsidRPr="007D7269">
              <w:t>2.038.871</w:t>
            </w:r>
          </w:p>
        </w:tc>
        <w:tc>
          <w:tcPr>
            <w:tcW w:w="1453" w:type="dxa"/>
            <w:tcBorders>
              <w:top w:val="nil"/>
              <w:left w:val="nil"/>
              <w:bottom w:val="single" w:sz="4" w:space="0" w:color="808080"/>
              <w:right w:val="single" w:sz="4" w:space="0" w:color="808080"/>
            </w:tcBorders>
            <w:shd w:val="clear" w:color="auto" w:fill="auto"/>
            <w:noWrap/>
          </w:tcPr>
          <w:p w14:paraId="73F7E846" w14:textId="1417693B" w:rsidR="00752125" w:rsidRPr="00A13C71" w:rsidRDefault="00752125" w:rsidP="00752125">
            <w:pPr>
              <w:jc w:val="right"/>
              <w:rPr>
                <w:rFonts w:ascii="Cambria" w:hAnsi="Cambria"/>
                <w:noProof/>
                <w:color w:val="7030A0"/>
                <w:sz w:val="22"/>
                <w:szCs w:val="22"/>
                <w:lang w:val="sr-Latn-BA" w:eastAsia="sr-Latn-RS"/>
              </w:rPr>
            </w:pPr>
            <w:r w:rsidRPr="007D7269">
              <w:t>2.747.270</w:t>
            </w:r>
          </w:p>
        </w:tc>
      </w:tr>
      <w:tr w:rsidR="00752125" w:rsidRPr="00A13C71" w14:paraId="3B96527C" w14:textId="77777777" w:rsidTr="00A9186B">
        <w:trPr>
          <w:trHeight w:val="291"/>
        </w:trPr>
        <w:tc>
          <w:tcPr>
            <w:tcW w:w="4695" w:type="dxa"/>
            <w:tcBorders>
              <w:top w:val="nil"/>
              <w:left w:val="single" w:sz="4" w:space="0" w:color="808080"/>
              <w:bottom w:val="single" w:sz="4" w:space="0" w:color="808080"/>
              <w:right w:val="single" w:sz="4" w:space="0" w:color="808080"/>
            </w:tcBorders>
            <w:shd w:val="clear" w:color="auto" w:fill="auto"/>
            <w:noWrap/>
            <w:hideMark/>
          </w:tcPr>
          <w:p w14:paraId="1BBE22E0" w14:textId="0A17B2D0" w:rsidR="00752125" w:rsidRPr="00A13C71" w:rsidRDefault="00752125" w:rsidP="00752125">
            <w:pPr>
              <w:rPr>
                <w:rFonts w:ascii="Cambria" w:hAnsi="Cambria"/>
                <w:noProof/>
                <w:sz w:val="22"/>
                <w:szCs w:val="22"/>
                <w:lang w:val="sr-Latn-BA" w:eastAsia="sr-Latn-RS"/>
              </w:rPr>
            </w:pPr>
            <w:r w:rsidRPr="007D7269">
              <w:t>Neto imovina fonda</w:t>
            </w:r>
          </w:p>
        </w:tc>
        <w:tc>
          <w:tcPr>
            <w:tcW w:w="1453" w:type="dxa"/>
            <w:tcBorders>
              <w:top w:val="nil"/>
              <w:left w:val="nil"/>
              <w:bottom w:val="single" w:sz="4" w:space="0" w:color="808080"/>
              <w:right w:val="single" w:sz="4" w:space="0" w:color="808080"/>
            </w:tcBorders>
            <w:shd w:val="clear" w:color="auto" w:fill="auto"/>
            <w:noWrap/>
          </w:tcPr>
          <w:p w14:paraId="684CB541" w14:textId="35793DAD" w:rsidR="00752125" w:rsidRPr="00A13C71" w:rsidRDefault="00752125" w:rsidP="00752125">
            <w:pPr>
              <w:jc w:val="right"/>
              <w:rPr>
                <w:rFonts w:ascii="Cambria" w:hAnsi="Cambria"/>
                <w:noProof/>
                <w:color w:val="7030A0"/>
                <w:sz w:val="22"/>
                <w:szCs w:val="22"/>
                <w:lang w:val="sr-Latn-BA" w:eastAsia="sr-Latn-RS"/>
              </w:rPr>
            </w:pPr>
            <w:r w:rsidRPr="007D7269">
              <w:t>6.109.796</w:t>
            </w:r>
          </w:p>
        </w:tc>
        <w:tc>
          <w:tcPr>
            <w:tcW w:w="1453" w:type="dxa"/>
            <w:tcBorders>
              <w:top w:val="nil"/>
              <w:left w:val="nil"/>
              <w:bottom w:val="single" w:sz="4" w:space="0" w:color="808080"/>
              <w:right w:val="single" w:sz="4" w:space="0" w:color="808080"/>
            </w:tcBorders>
            <w:shd w:val="clear" w:color="auto" w:fill="auto"/>
            <w:noWrap/>
          </w:tcPr>
          <w:p w14:paraId="61D25C32" w14:textId="3B7EDD3D" w:rsidR="00752125" w:rsidRPr="00A13C71" w:rsidRDefault="00752125" w:rsidP="00752125">
            <w:pPr>
              <w:jc w:val="right"/>
              <w:rPr>
                <w:rFonts w:ascii="Cambria" w:hAnsi="Cambria"/>
                <w:noProof/>
                <w:color w:val="7030A0"/>
                <w:sz w:val="22"/>
                <w:szCs w:val="22"/>
                <w:lang w:val="sr-Latn-BA" w:eastAsia="sr-Latn-RS"/>
              </w:rPr>
            </w:pPr>
            <w:r w:rsidRPr="007D7269">
              <w:t>6.109.796</w:t>
            </w:r>
          </w:p>
        </w:tc>
        <w:tc>
          <w:tcPr>
            <w:tcW w:w="1453" w:type="dxa"/>
            <w:tcBorders>
              <w:top w:val="nil"/>
              <w:left w:val="nil"/>
              <w:bottom w:val="single" w:sz="4" w:space="0" w:color="808080"/>
              <w:right w:val="single" w:sz="4" w:space="0" w:color="808080"/>
            </w:tcBorders>
            <w:shd w:val="clear" w:color="auto" w:fill="auto"/>
            <w:noWrap/>
          </w:tcPr>
          <w:p w14:paraId="5E27E558" w14:textId="77BC4598" w:rsidR="00752125" w:rsidRPr="00A13C71" w:rsidRDefault="00752125" w:rsidP="00752125">
            <w:pPr>
              <w:jc w:val="right"/>
              <w:rPr>
                <w:rFonts w:ascii="Cambria" w:hAnsi="Cambria"/>
                <w:noProof/>
                <w:color w:val="7030A0"/>
                <w:sz w:val="22"/>
                <w:szCs w:val="22"/>
                <w:lang w:val="sr-Latn-BA" w:eastAsia="sr-Latn-RS"/>
              </w:rPr>
            </w:pPr>
            <w:r w:rsidRPr="007D7269">
              <w:t>6.109.796</w:t>
            </w:r>
          </w:p>
        </w:tc>
      </w:tr>
      <w:tr w:rsidR="00752125" w:rsidRPr="00A13C71" w14:paraId="408D0114" w14:textId="77777777" w:rsidTr="00A9186B">
        <w:trPr>
          <w:trHeight w:val="291"/>
        </w:trPr>
        <w:tc>
          <w:tcPr>
            <w:tcW w:w="4695" w:type="dxa"/>
            <w:tcBorders>
              <w:top w:val="nil"/>
              <w:left w:val="single" w:sz="4" w:space="0" w:color="808080"/>
              <w:bottom w:val="single" w:sz="4" w:space="0" w:color="808080"/>
              <w:right w:val="single" w:sz="4" w:space="0" w:color="808080"/>
            </w:tcBorders>
            <w:shd w:val="clear" w:color="auto" w:fill="auto"/>
            <w:noWrap/>
            <w:hideMark/>
          </w:tcPr>
          <w:p w14:paraId="10E74002" w14:textId="3FF7009C" w:rsidR="00752125" w:rsidRPr="00752125" w:rsidRDefault="00752125" w:rsidP="00752125">
            <w:pPr>
              <w:rPr>
                <w:rFonts w:ascii="Cambria" w:hAnsi="Cambria"/>
                <w:b/>
                <w:bCs/>
                <w:noProof/>
                <w:sz w:val="22"/>
                <w:szCs w:val="22"/>
                <w:lang w:val="sr-Latn-BA" w:eastAsia="sr-Latn-RS"/>
              </w:rPr>
            </w:pPr>
            <w:r w:rsidRPr="00752125">
              <w:rPr>
                <w:b/>
                <w:bCs/>
              </w:rPr>
              <w:t xml:space="preserve">Procenat likvidnosti </w:t>
            </w:r>
          </w:p>
        </w:tc>
        <w:tc>
          <w:tcPr>
            <w:tcW w:w="1453" w:type="dxa"/>
            <w:tcBorders>
              <w:top w:val="nil"/>
              <w:left w:val="nil"/>
              <w:bottom w:val="single" w:sz="4" w:space="0" w:color="808080"/>
              <w:right w:val="single" w:sz="4" w:space="0" w:color="808080"/>
            </w:tcBorders>
            <w:shd w:val="clear" w:color="auto" w:fill="auto"/>
            <w:noWrap/>
          </w:tcPr>
          <w:p w14:paraId="128F41DB" w14:textId="6BA3A775" w:rsidR="00752125" w:rsidRPr="00752125" w:rsidRDefault="00752125" w:rsidP="00752125">
            <w:pPr>
              <w:jc w:val="right"/>
              <w:rPr>
                <w:rFonts w:ascii="Cambria" w:hAnsi="Cambria"/>
                <w:b/>
                <w:bCs/>
                <w:noProof/>
                <w:color w:val="7030A0"/>
                <w:sz w:val="22"/>
                <w:szCs w:val="22"/>
                <w:lang w:val="sr-Latn-BA" w:eastAsia="sr-Latn-RS"/>
              </w:rPr>
            </w:pPr>
            <w:r w:rsidRPr="00752125">
              <w:rPr>
                <w:b/>
                <w:bCs/>
              </w:rPr>
              <w:t>11,61%</w:t>
            </w:r>
          </w:p>
        </w:tc>
        <w:tc>
          <w:tcPr>
            <w:tcW w:w="1453" w:type="dxa"/>
            <w:tcBorders>
              <w:top w:val="nil"/>
              <w:left w:val="nil"/>
              <w:bottom w:val="single" w:sz="4" w:space="0" w:color="808080"/>
              <w:right w:val="single" w:sz="4" w:space="0" w:color="808080"/>
            </w:tcBorders>
            <w:shd w:val="clear" w:color="auto" w:fill="auto"/>
            <w:noWrap/>
          </w:tcPr>
          <w:p w14:paraId="1CDE19B8" w14:textId="6B277BCA" w:rsidR="00752125" w:rsidRPr="00752125" w:rsidRDefault="00752125" w:rsidP="00752125">
            <w:pPr>
              <w:jc w:val="right"/>
              <w:rPr>
                <w:rFonts w:ascii="Cambria" w:hAnsi="Cambria"/>
                <w:b/>
                <w:bCs/>
                <w:noProof/>
                <w:color w:val="7030A0"/>
                <w:sz w:val="22"/>
                <w:szCs w:val="22"/>
                <w:lang w:val="sr-Latn-BA" w:eastAsia="sr-Latn-RS"/>
              </w:rPr>
            </w:pPr>
            <w:r w:rsidRPr="00752125">
              <w:rPr>
                <w:b/>
                <w:bCs/>
              </w:rPr>
              <w:t>33,37%</w:t>
            </w:r>
          </w:p>
        </w:tc>
        <w:tc>
          <w:tcPr>
            <w:tcW w:w="1453" w:type="dxa"/>
            <w:tcBorders>
              <w:top w:val="nil"/>
              <w:left w:val="nil"/>
              <w:bottom w:val="single" w:sz="4" w:space="0" w:color="808080"/>
              <w:right w:val="single" w:sz="4" w:space="0" w:color="808080"/>
            </w:tcBorders>
            <w:shd w:val="clear" w:color="auto" w:fill="auto"/>
            <w:noWrap/>
          </w:tcPr>
          <w:p w14:paraId="0F8D734D" w14:textId="6DF45795" w:rsidR="00752125" w:rsidRPr="00752125" w:rsidRDefault="00752125" w:rsidP="00752125">
            <w:pPr>
              <w:jc w:val="right"/>
              <w:rPr>
                <w:rFonts w:ascii="Cambria" w:hAnsi="Cambria"/>
                <w:b/>
                <w:bCs/>
                <w:noProof/>
                <w:color w:val="7030A0"/>
                <w:sz w:val="22"/>
                <w:szCs w:val="22"/>
                <w:lang w:val="sr-Latn-BA" w:eastAsia="sr-Latn-RS"/>
              </w:rPr>
            </w:pPr>
            <w:r w:rsidRPr="00752125">
              <w:rPr>
                <w:b/>
                <w:bCs/>
              </w:rPr>
              <w:t>44,97%</w:t>
            </w:r>
          </w:p>
        </w:tc>
      </w:tr>
    </w:tbl>
    <w:p w14:paraId="7C6F2744" w14:textId="77777777" w:rsidR="00664F2B" w:rsidRPr="00A13C71" w:rsidRDefault="00664F2B" w:rsidP="00664F2B">
      <w:pPr>
        <w:rPr>
          <w:rFonts w:ascii="Cambria" w:hAnsi="Cambria"/>
          <w:noProof/>
          <w:color w:val="7030A0"/>
          <w:sz w:val="22"/>
          <w:szCs w:val="22"/>
          <w:lang w:val="sr-Latn-BA"/>
        </w:rPr>
      </w:pPr>
    </w:p>
    <w:p w14:paraId="1C1357A5" w14:textId="43A75CF8" w:rsidR="007F4E71" w:rsidRDefault="00523939" w:rsidP="00664F2B">
      <w:pPr>
        <w:jc w:val="both"/>
        <w:rPr>
          <w:rFonts w:ascii="Cambria" w:hAnsi="Cambria"/>
          <w:noProof/>
          <w:sz w:val="22"/>
          <w:szCs w:val="22"/>
          <w:lang w:val="sr-Latn-BA"/>
        </w:rPr>
      </w:pPr>
      <w:r w:rsidRPr="00523939">
        <w:rPr>
          <w:rFonts w:ascii="Cambria" w:hAnsi="Cambria"/>
          <w:noProof/>
          <w:sz w:val="22"/>
          <w:szCs w:val="22"/>
          <w:lang w:val="sr-Latn-BA"/>
        </w:rPr>
        <w:t>U skladu sa internim klasifikacijom nivoa rizika, rizik otkupa udjela je visok.</w:t>
      </w:r>
    </w:p>
    <w:p w14:paraId="06A664C6" w14:textId="77777777" w:rsidR="00523939" w:rsidRPr="00A13C71" w:rsidRDefault="00523939" w:rsidP="00664F2B">
      <w:pPr>
        <w:jc w:val="both"/>
        <w:rPr>
          <w:rFonts w:ascii="Cambria" w:hAnsi="Cambria"/>
          <w:noProof/>
          <w:sz w:val="22"/>
          <w:szCs w:val="22"/>
          <w:lang w:val="sr-Latn-BA"/>
        </w:rPr>
      </w:pPr>
    </w:p>
    <w:p w14:paraId="3EC710B9" w14:textId="3F9D996A" w:rsidR="00664F2B" w:rsidRPr="00A13C71" w:rsidRDefault="00664F2B" w:rsidP="00664F2B">
      <w:pPr>
        <w:jc w:val="both"/>
        <w:rPr>
          <w:rFonts w:ascii="Cambria" w:hAnsi="Cambria"/>
          <w:b/>
          <w:bCs/>
          <w:noProof/>
          <w:sz w:val="22"/>
          <w:szCs w:val="22"/>
          <w:lang w:val="sr-Latn-BA"/>
        </w:rPr>
      </w:pPr>
      <w:r w:rsidRPr="00A13C71">
        <w:rPr>
          <w:rFonts w:ascii="Cambria" w:hAnsi="Cambria"/>
          <w:b/>
          <w:bCs/>
          <w:noProof/>
          <w:sz w:val="22"/>
          <w:szCs w:val="22"/>
          <w:lang w:val="sr-Latn-BA"/>
        </w:rPr>
        <w:t>Ostali rizici</w:t>
      </w:r>
    </w:p>
    <w:p w14:paraId="445C67F1" w14:textId="77777777" w:rsidR="00664F2B" w:rsidRPr="00A13C71" w:rsidRDefault="00664F2B" w:rsidP="00664F2B">
      <w:pPr>
        <w:jc w:val="both"/>
        <w:rPr>
          <w:rFonts w:ascii="Cambria" w:hAnsi="Cambria"/>
          <w:b/>
          <w:bCs/>
          <w:noProof/>
          <w:sz w:val="22"/>
          <w:szCs w:val="22"/>
          <w:lang w:val="sr-Latn-BA"/>
        </w:rPr>
      </w:pPr>
    </w:p>
    <w:p w14:paraId="30A71C5A" w14:textId="77777777" w:rsidR="00752125" w:rsidRPr="008B7ABE" w:rsidRDefault="00752125" w:rsidP="00752125">
      <w:pPr>
        <w:pStyle w:val="BodyText"/>
        <w:rPr>
          <w:rFonts w:ascii="Cambria" w:hAnsi="Cambria"/>
          <w:b/>
          <w:bCs/>
          <w:noProof/>
          <w:sz w:val="22"/>
          <w:szCs w:val="22"/>
          <w:lang w:val="sr-Latn-BA"/>
        </w:rPr>
      </w:pPr>
      <w:r w:rsidRPr="008B7ABE">
        <w:rPr>
          <w:rFonts w:ascii="Cambria" w:hAnsi="Cambria"/>
          <w:b/>
          <w:bCs/>
          <w:noProof/>
          <w:sz w:val="22"/>
          <w:szCs w:val="22"/>
          <w:lang w:val="sr-Latn-BA"/>
        </w:rPr>
        <w:t>Rizik promjene kamatnih stopa</w:t>
      </w:r>
    </w:p>
    <w:p w14:paraId="15F7688A" w14:textId="77777777" w:rsidR="00752125" w:rsidRPr="00752125" w:rsidRDefault="00752125" w:rsidP="00752125">
      <w:pPr>
        <w:pStyle w:val="BodyText"/>
        <w:rPr>
          <w:rFonts w:ascii="Cambria" w:hAnsi="Cambria"/>
          <w:noProof/>
          <w:sz w:val="22"/>
          <w:szCs w:val="22"/>
          <w:lang w:val="sr-Latn-BA"/>
        </w:rPr>
      </w:pPr>
      <w:r w:rsidRPr="00752125">
        <w:rPr>
          <w:rFonts w:ascii="Cambria" w:hAnsi="Cambria"/>
          <w:noProof/>
          <w:sz w:val="22"/>
          <w:szCs w:val="22"/>
          <w:lang w:val="sr-Latn-BA"/>
        </w:rPr>
        <w:t>Rizik promjene kamatne stope predstavlja rizik koji može dovesti do promjene vrijednosti imovine Fonda, pošto promjena kamatnih stopa direktno utiče na promjenu cijena hartija od vrijednosti u portfelju Fonda, kojima se trguje na berzma i na drugim uređenim javnim tržištima.</w:t>
      </w:r>
    </w:p>
    <w:p w14:paraId="4F722051" w14:textId="77777777" w:rsidR="00752125" w:rsidRPr="00752125" w:rsidRDefault="00752125" w:rsidP="00752125">
      <w:pPr>
        <w:pStyle w:val="BodyText"/>
        <w:rPr>
          <w:rFonts w:ascii="Cambria" w:hAnsi="Cambria"/>
          <w:noProof/>
          <w:sz w:val="22"/>
          <w:szCs w:val="22"/>
          <w:lang w:val="sr-Latn-BA"/>
        </w:rPr>
      </w:pPr>
      <w:r w:rsidRPr="00752125">
        <w:rPr>
          <w:rFonts w:ascii="Cambria" w:hAnsi="Cambria"/>
          <w:noProof/>
          <w:sz w:val="22"/>
          <w:szCs w:val="22"/>
          <w:lang w:val="sr-Latn-BA"/>
        </w:rPr>
        <w:t xml:space="preserve">Ulaganjem imovine Fonda u dužničke hartije od vrijednosti, na domaćim i stranim finansijskim tržištima, se povećava kamatni rizik, obzirom da se tržišna vrijednost instrumenata sa fiksnim prinosom mijenja u zavisnosti od promjene kamatnih stopa, naročito kod obveznica koji imaju duže rokove dospijeća.       </w:t>
      </w:r>
    </w:p>
    <w:p w14:paraId="684EA761" w14:textId="77777777" w:rsidR="00752125" w:rsidRPr="00752125" w:rsidRDefault="00752125" w:rsidP="00752125">
      <w:pPr>
        <w:pStyle w:val="BodyText"/>
        <w:rPr>
          <w:rFonts w:ascii="Cambria" w:hAnsi="Cambria"/>
          <w:noProof/>
          <w:sz w:val="22"/>
          <w:szCs w:val="22"/>
          <w:lang w:val="sr-Latn-BA"/>
        </w:rPr>
      </w:pPr>
      <w:r w:rsidRPr="00752125">
        <w:rPr>
          <w:rFonts w:ascii="Cambria" w:hAnsi="Cambria"/>
          <w:noProof/>
          <w:sz w:val="22"/>
          <w:szCs w:val="22"/>
          <w:lang w:val="sr-Latn-BA"/>
        </w:rPr>
        <w:t>Optimalna mjera izloženosti kamatnom riziku predstavlja prosječno vrijeme do dospijeća obveznice (duracija), tako da kod rasta kamatnih stopa bolji učinak imaju portfelji sa manjom duracijom, a kada kamatne stope padaju bolji učinak imaju portfelji sa većom duracijom.</w:t>
      </w:r>
    </w:p>
    <w:p w14:paraId="2C7819EB" w14:textId="77777777" w:rsidR="00752125" w:rsidRPr="00752125" w:rsidRDefault="00752125" w:rsidP="00752125">
      <w:pPr>
        <w:pStyle w:val="BodyText"/>
        <w:rPr>
          <w:rFonts w:ascii="Cambria" w:hAnsi="Cambria"/>
          <w:noProof/>
          <w:sz w:val="22"/>
          <w:szCs w:val="22"/>
          <w:lang w:val="sr-Latn-BA"/>
        </w:rPr>
      </w:pPr>
      <w:r w:rsidRPr="00752125">
        <w:rPr>
          <w:rFonts w:ascii="Cambria" w:hAnsi="Cambria"/>
          <w:noProof/>
          <w:sz w:val="22"/>
          <w:szCs w:val="22"/>
          <w:lang w:val="sr-Latn-BA"/>
        </w:rPr>
        <w:t xml:space="preserve">Ovaj rizik se ispoljava na vrijednost neto imovine Fonda i Društvo za upravljanje može uticati na njegovo smanjenje. </w:t>
      </w:r>
    </w:p>
    <w:p w14:paraId="16871282" w14:textId="77777777" w:rsidR="00752125" w:rsidRPr="00752125" w:rsidRDefault="00752125" w:rsidP="00752125">
      <w:pPr>
        <w:pStyle w:val="BodyText"/>
        <w:rPr>
          <w:rFonts w:ascii="Cambria" w:hAnsi="Cambria"/>
          <w:noProof/>
          <w:sz w:val="22"/>
          <w:szCs w:val="22"/>
          <w:lang w:val="sr-Latn-BA"/>
        </w:rPr>
      </w:pPr>
      <w:r w:rsidRPr="00752125">
        <w:rPr>
          <w:rFonts w:ascii="Cambria" w:hAnsi="Cambria"/>
          <w:noProof/>
          <w:sz w:val="22"/>
          <w:szCs w:val="22"/>
          <w:lang w:val="sr-Latn-BA"/>
        </w:rPr>
        <w:t xml:space="preserve">Društvo za upravljanje će voditi aktivnosti na smanjenju ovoga rizika aktivnim praćenjem visine kamatnih stopa, praćenjem likvidnosti instrumenata na tržištu, diverzifikacijom ulaganja u više vrsta dužničkih hartija od vrijednosti, sa različitim rokovima njihovog dospijeća i ograničavanjem prosječnog vremena do dospijeća ovih hartija. </w:t>
      </w:r>
    </w:p>
    <w:p w14:paraId="56DDB94D" w14:textId="77777777" w:rsidR="00752125" w:rsidRPr="00752125" w:rsidRDefault="00752125" w:rsidP="00752125">
      <w:pPr>
        <w:pStyle w:val="BodyText"/>
        <w:rPr>
          <w:rFonts w:ascii="Cambria" w:hAnsi="Cambria"/>
          <w:noProof/>
          <w:sz w:val="22"/>
          <w:szCs w:val="22"/>
          <w:lang w:val="sr-Latn-BA"/>
        </w:rPr>
      </w:pPr>
      <w:r w:rsidRPr="00752125">
        <w:rPr>
          <w:rFonts w:ascii="Cambria" w:hAnsi="Cambria"/>
          <w:noProof/>
          <w:sz w:val="22"/>
          <w:szCs w:val="22"/>
          <w:lang w:val="sr-Latn-BA"/>
        </w:rPr>
        <w:t>Nivo rizika promjene kamatne stope je umjeren.</w:t>
      </w:r>
    </w:p>
    <w:p w14:paraId="131AA208" w14:textId="77777777" w:rsidR="00752125" w:rsidRPr="00752125" w:rsidRDefault="00752125" w:rsidP="00752125">
      <w:pPr>
        <w:pStyle w:val="BodyText"/>
        <w:rPr>
          <w:rFonts w:ascii="Cambria" w:hAnsi="Cambria"/>
          <w:noProof/>
          <w:sz w:val="22"/>
          <w:szCs w:val="22"/>
          <w:lang w:val="sr-Latn-BA"/>
        </w:rPr>
      </w:pPr>
    </w:p>
    <w:p w14:paraId="7FC6C553" w14:textId="77777777" w:rsidR="00752125" w:rsidRPr="008B7ABE" w:rsidRDefault="00752125" w:rsidP="00752125">
      <w:pPr>
        <w:pStyle w:val="BodyText"/>
        <w:rPr>
          <w:rFonts w:ascii="Cambria" w:hAnsi="Cambria"/>
          <w:b/>
          <w:bCs/>
          <w:noProof/>
          <w:sz w:val="22"/>
          <w:szCs w:val="22"/>
          <w:lang w:val="sr-Latn-BA"/>
        </w:rPr>
      </w:pPr>
      <w:r w:rsidRPr="008B7ABE">
        <w:rPr>
          <w:rFonts w:ascii="Cambria" w:hAnsi="Cambria"/>
          <w:b/>
          <w:bCs/>
          <w:noProof/>
          <w:sz w:val="22"/>
          <w:szCs w:val="22"/>
          <w:lang w:val="sr-Latn-BA"/>
        </w:rPr>
        <w:t>Rizik inflacije</w:t>
      </w:r>
    </w:p>
    <w:p w14:paraId="078CF8BE" w14:textId="77777777" w:rsidR="00752125" w:rsidRPr="00752125" w:rsidRDefault="00752125" w:rsidP="00752125">
      <w:pPr>
        <w:pStyle w:val="BodyText"/>
        <w:rPr>
          <w:rFonts w:ascii="Cambria" w:hAnsi="Cambria"/>
          <w:noProof/>
          <w:sz w:val="22"/>
          <w:szCs w:val="22"/>
          <w:lang w:val="sr-Latn-BA"/>
        </w:rPr>
      </w:pPr>
      <w:r w:rsidRPr="00752125">
        <w:rPr>
          <w:rFonts w:ascii="Cambria" w:hAnsi="Cambria"/>
          <w:noProof/>
          <w:sz w:val="22"/>
          <w:szCs w:val="22"/>
          <w:lang w:val="sr-Latn-BA"/>
        </w:rPr>
        <w:t>Ovaj rizik predstavlja rizik koji se odnosi na rast stope inflacije u državi ili entitetu u kojoj Fond posjeduje imovinu i on može dovesti do pada vrijednosti neto imovine Fonda. Ovaj rizik može uticati na smanjenje neto vrijednosti imovine Fonda. Rizik promjene inflacije se ispoljava na vrijednost imovine Fonda.</w:t>
      </w:r>
    </w:p>
    <w:p w14:paraId="462F409A" w14:textId="77777777" w:rsidR="00752125" w:rsidRPr="00752125" w:rsidRDefault="00752125" w:rsidP="00752125">
      <w:pPr>
        <w:pStyle w:val="BodyText"/>
        <w:rPr>
          <w:rFonts w:ascii="Cambria" w:hAnsi="Cambria"/>
          <w:noProof/>
          <w:sz w:val="22"/>
          <w:szCs w:val="22"/>
          <w:lang w:val="sr-Latn-BA"/>
        </w:rPr>
      </w:pPr>
      <w:r w:rsidRPr="00752125">
        <w:rPr>
          <w:rFonts w:ascii="Cambria" w:hAnsi="Cambria"/>
          <w:noProof/>
          <w:sz w:val="22"/>
          <w:szCs w:val="22"/>
          <w:lang w:val="sr-Latn-BA"/>
        </w:rPr>
        <w:t>Društvo za upravljanje ne može direktno uticati na pojavu rizika inflacije, ali može smanjiti ovaj rizik pravovremenom i adekvatnom procjenom rasta ili pada vrijednosti valuta, u kojima se obračunava vrijednost pojedine imovine Fonda.</w:t>
      </w:r>
    </w:p>
    <w:p w14:paraId="1DCE3AE6" w14:textId="77777777" w:rsidR="00752125" w:rsidRPr="00752125" w:rsidRDefault="00752125" w:rsidP="00752125">
      <w:pPr>
        <w:pStyle w:val="BodyText"/>
        <w:rPr>
          <w:rFonts w:ascii="Cambria" w:hAnsi="Cambria"/>
          <w:noProof/>
          <w:sz w:val="22"/>
          <w:szCs w:val="22"/>
          <w:lang w:val="sr-Latn-BA"/>
        </w:rPr>
      </w:pPr>
      <w:r w:rsidRPr="00752125">
        <w:rPr>
          <w:rFonts w:ascii="Cambria" w:hAnsi="Cambria"/>
          <w:noProof/>
          <w:sz w:val="22"/>
          <w:szCs w:val="22"/>
          <w:lang w:val="sr-Latn-BA"/>
        </w:rPr>
        <w:t>Nivo rizika inflacije je umjeren.</w:t>
      </w:r>
    </w:p>
    <w:p w14:paraId="0BB65310" w14:textId="77777777" w:rsidR="00752125" w:rsidRPr="00752125" w:rsidRDefault="00752125" w:rsidP="00752125">
      <w:pPr>
        <w:pStyle w:val="BodyText"/>
        <w:rPr>
          <w:rFonts w:ascii="Cambria" w:hAnsi="Cambria"/>
          <w:noProof/>
          <w:sz w:val="22"/>
          <w:szCs w:val="22"/>
          <w:lang w:val="sr-Latn-BA"/>
        </w:rPr>
      </w:pPr>
    </w:p>
    <w:p w14:paraId="6C9D478E" w14:textId="77777777" w:rsidR="00752125" w:rsidRPr="008B7ABE" w:rsidRDefault="00752125" w:rsidP="00752125">
      <w:pPr>
        <w:pStyle w:val="BodyText"/>
        <w:rPr>
          <w:rFonts w:ascii="Cambria" w:hAnsi="Cambria"/>
          <w:b/>
          <w:bCs/>
          <w:noProof/>
          <w:sz w:val="22"/>
          <w:szCs w:val="22"/>
          <w:lang w:val="sr-Latn-BA"/>
        </w:rPr>
      </w:pPr>
      <w:r w:rsidRPr="008B7ABE">
        <w:rPr>
          <w:rFonts w:ascii="Cambria" w:hAnsi="Cambria"/>
          <w:b/>
          <w:bCs/>
          <w:noProof/>
          <w:sz w:val="22"/>
          <w:szCs w:val="22"/>
          <w:lang w:val="sr-Latn-BA"/>
        </w:rPr>
        <w:t>Rizik reinvestiranja</w:t>
      </w:r>
    </w:p>
    <w:p w14:paraId="68CEFC02" w14:textId="77777777" w:rsidR="00752125" w:rsidRPr="00752125" w:rsidRDefault="00752125" w:rsidP="00752125">
      <w:pPr>
        <w:pStyle w:val="BodyText"/>
        <w:rPr>
          <w:rFonts w:ascii="Cambria" w:hAnsi="Cambria"/>
          <w:noProof/>
          <w:sz w:val="22"/>
          <w:szCs w:val="22"/>
          <w:lang w:val="sr-Latn-BA"/>
        </w:rPr>
      </w:pPr>
      <w:r w:rsidRPr="00752125">
        <w:rPr>
          <w:rFonts w:ascii="Cambria" w:hAnsi="Cambria"/>
          <w:noProof/>
          <w:sz w:val="22"/>
          <w:szCs w:val="22"/>
          <w:lang w:val="sr-Latn-BA"/>
        </w:rPr>
        <w:t xml:space="preserve">Ovaj rizik predstavlja rizik da će budući novčani prilivi od pojedinih finansijskih instrumenata biti reinvestirani po nižim kamatnim stopama i da će reinvestiranje pod navedenim uslovima dovesti do smanjenja očekivanog prinosa Fonda.  </w:t>
      </w:r>
    </w:p>
    <w:p w14:paraId="67A6C871" w14:textId="77777777" w:rsidR="00752125" w:rsidRPr="00752125" w:rsidRDefault="00752125" w:rsidP="00752125">
      <w:pPr>
        <w:pStyle w:val="BodyText"/>
        <w:rPr>
          <w:rFonts w:ascii="Cambria" w:hAnsi="Cambria"/>
          <w:noProof/>
          <w:sz w:val="22"/>
          <w:szCs w:val="22"/>
          <w:lang w:val="sr-Latn-BA"/>
        </w:rPr>
      </w:pPr>
      <w:r w:rsidRPr="00752125">
        <w:rPr>
          <w:rFonts w:ascii="Cambria" w:hAnsi="Cambria"/>
          <w:noProof/>
          <w:sz w:val="22"/>
          <w:szCs w:val="22"/>
          <w:lang w:val="sr-Latn-BA"/>
        </w:rPr>
        <w:t>Ovaj rizik je najizraženiji kod obveznica i novčanih depozita u poslovnim bankama, u periodima pada visine kamatnih stopa, pošto se kuponi reinvestiraju po manjoj stopi od stope prinosa do dospijeća, koja je bila u trenutku kupovine finansijskog instrumenta.</w:t>
      </w:r>
    </w:p>
    <w:p w14:paraId="04649097" w14:textId="77777777" w:rsidR="00752125" w:rsidRPr="00752125" w:rsidRDefault="00752125" w:rsidP="00752125">
      <w:pPr>
        <w:pStyle w:val="BodyText"/>
        <w:rPr>
          <w:rFonts w:ascii="Cambria" w:hAnsi="Cambria"/>
          <w:noProof/>
          <w:sz w:val="22"/>
          <w:szCs w:val="22"/>
          <w:lang w:val="sr-Latn-BA"/>
        </w:rPr>
      </w:pPr>
      <w:r w:rsidRPr="00752125">
        <w:rPr>
          <w:rFonts w:ascii="Cambria" w:hAnsi="Cambria"/>
          <w:noProof/>
          <w:sz w:val="22"/>
          <w:szCs w:val="22"/>
          <w:lang w:val="sr-Latn-BA"/>
        </w:rPr>
        <w:t>Društvo za upravljanje ne može uticati na ovaj rizik iz razloga što visinu kamatnih stopa utvrđuje izdavalac dužničkih hartija od vrijednosti.</w:t>
      </w:r>
    </w:p>
    <w:p w14:paraId="210B95CC" w14:textId="77777777" w:rsidR="00752125" w:rsidRPr="00752125" w:rsidRDefault="00752125" w:rsidP="00752125">
      <w:pPr>
        <w:pStyle w:val="BodyText"/>
        <w:rPr>
          <w:rFonts w:ascii="Cambria" w:hAnsi="Cambria"/>
          <w:noProof/>
          <w:sz w:val="22"/>
          <w:szCs w:val="22"/>
          <w:lang w:val="sr-Latn-BA"/>
        </w:rPr>
      </w:pPr>
      <w:r w:rsidRPr="00752125">
        <w:rPr>
          <w:rFonts w:ascii="Cambria" w:hAnsi="Cambria"/>
          <w:noProof/>
          <w:sz w:val="22"/>
          <w:szCs w:val="22"/>
          <w:lang w:val="sr-Latn-BA"/>
        </w:rPr>
        <w:t>Nivo rizika reinvestiranja je umjeren.</w:t>
      </w:r>
    </w:p>
    <w:p w14:paraId="547E7BA4" w14:textId="77777777" w:rsidR="00752125" w:rsidRPr="00752125" w:rsidRDefault="00752125" w:rsidP="00752125">
      <w:pPr>
        <w:pStyle w:val="BodyText"/>
        <w:rPr>
          <w:rFonts w:ascii="Cambria" w:hAnsi="Cambria"/>
          <w:noProof/>
          <w:sz w:val="22"/>
          <w:szCs w:val="22"/>
          <w:lang w:val="sr-Latn-BA"/>
        </w:rPr>
      </w:pPr>
    </w:p>
    <w:p w14:paraId="135A15D4" w14:textId="77777777" w:rsidR="00752125" w:rsidRPr="008B7ABE" w:rsidRDefault="00752125" w:rsidP="00752125">
      <w:pPr>
        <w:pStyle w:val="BodyText"/>
        <w:rPr>
          <w:rFonts w:ascii="Cambria" w:hAnsi="Cambria"/>
          <w:b/>
          <w:bCs/>
          <w:noProof/>
          <w:sz w:val="22"/>
          <w:szCs w:val="22"/>
          <w:lang w:val="sr-Latn-BA"/>
        </w:rPr>
      </w:pPr>
      <w:r w:rsidRPr="008B7ABE">
        <w:rPr>
          <w:rFonts w:ascii="Cambria" w:hAnsi="Cambria"/>
          <w:b/>
          <w:bCs/>
          <w:noProof/>
          <w:sz w:val="22"/>
          <w:szCs w:val="22"/>
          <w:lang w:val="sr-Latn-BA"/>
        </w:rPr>
        <w:t>Rizik banke depozitara, poslovne banke i kastodi banke</w:t>
      </w:r>
    </w:p>
    <w:p w14:paraId="020411ED" w14:textId="77777777" w:rsidR="00752125" w:rsidRPr="00752125" w:rsidRDefault="00752125" w:rsidP="00752125">
      <w:pPr>
        <w:pStyle w:val="BodyText"/>
        <w:rPr>
          <w:rFonts w:ascii="Cambria" w:hAnsi="Cambria"/>
          <w:noProof/>
          <w:sz w:val="22"/>
          <w:szCs w:val="22"/>
          <w:lang w:val="sr-Latn-BA"/>
        </w:rPr>
      </w:pPr>
      <w:r w:rsidRPr="00752125">
        <w:rPr>
          <w:rFonts w:ascii="Cambria" w:hAnsi="Cambria"/>
          <w:noProof/>
          <w:sz w:val="22"/>
          <w:szCs w:val="22"/>
          <w:lang w:val="sr-Latn-BA"/>
        </w:rPr>
        <w:t xml:space="preserve">Ovaj rizik predstavlja opasnost da će Fond izgubiti dio imovine kod banke depozitara, kod poslovne banke ili kod kastodi banke, usled njihovih finansijskih teškoća i unutrašnjih dešavanja, koja mogu ugroziti imovinu Fonda.      </w:t>
      </w:r>
    </w:p>
    <w:p w14:paraId="71307581" w14:textId="77777777" w:rsidR="00752125" w:rsidRPr="00752125" w:rsidRDefault="00752125" w:rsidP="00752125">
      <w:pPr>
        <w:pStyle w:val="BodyText"/>
        <w:rPr>
          <w:rFonts w:ascii="Cambria" w:hAnsi="Cambria"/>
          <w:noProof/>
          <w:sz w:val="22"/>
          <w:szCs w:val="22"/>
          <w:lang w:val="sr-Latn-BA"/>
        </w:rPr>
      </w:pPr>
      <w:r w:rsidRPr="00752125">
        <w:rPr>
          <w:rFonts w:ascii="Cambria" w:hAnsi="Cambria"/>
          <w:noProof/>
          <w:sz w:val="22"/>
          <w:szCs w:val="22"/>
          <w:lang w:val="sr-Latn-BA"/>
        </w:rPr>
        <w:lastRenderedPageBreak/>
        <w:t>Rizik gubitka imovine kod ovih banaka može nastati kao posledica lošeg upravljanja, propusta ili prevara.</w:t>
      </w:r>
    </w:p>
    <w:p w14:paraId="6B18CFD9" w14:textId="77777777" w:rsidR="00752125" w:rsidRPr="00752125" w:rsidRDefault="00752125" w:rsidP="00752125">
      <w:pPr>
        <w:pStyle w:val="BodyText"/>
        <w:rPr>
          <w:rFonts w:ascii="Cambria" w:hAnsi="Cambria"/>
          <w:noProof/>
          <w:sz w:val="22"/>
          <w:szCs w:val="22"/>
          <w:lang w:val="sr-Latn-BA"/>
        </w:rPr>
      </w:pPr>
      <w:r w:rsidRPr="00752125">
        <w:rPr>
          <w:rFonts w:ascii="Cambria" w:hAnsi="Cambria"/>
          <w:noProof/>
          <w:sz w:val="22"/>
          <w:szCs w:val="22"/>
          <w:lang w:val="sr-Latn-BA"/>
        </w:rPr>
        <w:t>Nivo rizika banke depozitara, poslovne banke i kastodi banke je nizak.</w:t>
      </w:r>
    </w:p>
    <w:p w14:paraId="31EA9DA9" w14:textId="77777777" w:rsidR="00752125" w:rsidRPr="00752125" w:rsidRDefault="00752125" w:rsidP="00752125">
      <w:pPr>
        <w:pStyle w:val="BodyText"/>
        <w:rPr>
          <w:rFonts w:ascii="Cambria" w:hAnsi="Cambria"/>
          <w:noProof/>
          <w:sz w:val="22"/>
          <w:szCs w:val="22"/>
          <w:lang w:val="sr-Latn-BA"/>
        </w:rPr>
      </w:pPr>
    </w:p>
    <w:p w14:paraId="10AF308B" w14:textId="77777777" w:rsidR="00752125" w:rsidRPr="008B7ABE" w:rsidRDefault="00752125" w:rsidP="00752125">
      <w:pPr>
        <w:pStyle w:val="BodyText"/>
        <w:rPr>
          <w:rFonts w:ascii="Cambria" w:hAnsi="Cambria"/>
          <w:b/>
          <w:bCs/>
          <w:noProof/>
          <w:sz w:val="22"/>
          <w:szCs w:val="22"/>
          <w:lang w:val="sr-Latn-BA"/>
        </w:rPr>
      </w:pPr>
      <w:r w:rsidRPr="008B7ABE">
        <w:rPr>
          <w:rFonts w:ascii="Cambria" w:hAnsi="Cambria"/>
          <w:b/>
          <w:bCs/>
          <w:noProof/>
          <w:sz w:val="22"/>
          <w:szCs w:val="22"/>
          <w:lang w:val="sr-Latn-BA"/>
        </w:rPr>
        <w:t>Rizik promjene poreskih propisa</w:t>
      </w:r>
    </w:p>
    <w:p w14:paraId="2BE5F74D" w14:textId="77777777" w:rsidR="00752125" w:rsidRPr="00752125" w:rsidRDefault="00752125" w:rsidP="00752125">
      <w:pPr>
        <w:pStyle w:val="BodyText"/>
        <w:rPr>
          <w:rFonts w:ascii="Cambria" w:hAnsi="Cambria"/>
          <w:noProof/>
          <w:sz w:val="22"/>
          <w:szCs w:val="22"/>
          <w:lang w:val="sr-Latn-BA"/>
        </w:rPr>
      </w:pPr>
      <w:r w:rsidRPr="00752125">
        <w:rPr>
          <w:rFonts w:ascii="Cambria" w:hAnsi="Cambria"/>
          <w:noProof/>
          <w:sz w:val="22"/>
          <w:szCs w:val="22"/>
          <w:lang w:val="sr-Latn-BA"/>
        </w:rPr>
        <w:t>Ovaj rizik predstavlja vjerovatnoću izmjena poreskih propisa u Republici Srpskoj i u državama u kojima Fond ima ulaganja, pošto navedene izmjene mogu dovesti do smanjenja profitabilnosti Fonda, obzirom da su poreski propisi koji regulišu vlasništvo i transakcije finansijskim instrumentima veoma složeni i da njihove promjene obično ne prate inovacije finansijskih instrumenata.</w:t>
      </w:r>
    </w:p>
    <w:p w14:paraId="304CFE4B" w14:textId="77777777" w:rsidR="00752125" w:rsidRPr="00752125" w:rsidRDefault="00752125" w:rsidP="00752125">
      <w:pPr>
        <w:pStyle w:val="BodyText"/>
        <w:rPr>
          <w:rFonts w:ascii="Cambria" w:hAnsi="Cambria"/>
          <w:noProof/>
          <w:sz w:val="22"/>
          <w:szCs w:val="22"/>
          <w:lang w:val="sr-Latn-BA"/>
        </w:rPr>
      </w:pPr>
      <w:r w:rsidRPr="00752125">
        <w:rPr>
          <w:rFonts w:ascii="Cambria" w:hAnsi="Cambria"/>
          <w:noProof/>
          <w:sz w:val="22"/>
          <w:szCs w:val="22"/>
          <w:lang w:val="sr-Latn-BA"/>
        </w:rPr>
        <w:t>Povećanjem poreskih stopa određene vrste imovine koja se nalazi u portfelju Fonda ili naknadnim oporezivanjima finansijskih transakcija Fonda, može za posledicu imati poslovni gubitak Fonda.</w:t>
      </w:r>
    </w:p>
    <w:p w14:paraId="14C45B5D" w14:textId="77777777" w:rsidR="00752125" w:rsidRPr="00752125" w:rsidRDefault="00752125" w:rsidP="00752125">
      <w:pPr>
        <w:pStyle w:val="BodyText"/>
        <w:rPr>
          <w:rFonts w:ascii="Cambria" w:hAnsi="Cambria"/>
          <w:noProof/>
          <w:sz w:val="22"/>
          <w:szCs w:val="22"/>
          <w:lang w:val="sr-Latn-BA"/>
        </w:rPr>
      </w:pPr>
      <w:r w:rsidRPr="00752125">
        <w:rPr>
          <w:rFonts w:ascii="Cambria" w:hAnsi="Cambria"/>
          <w:noProof/>
          <w:sz w:val="22"/>
          <w:szCs w:val="22"/>
          <w:lang w:val="sr-Latn-BA"/>
        </w:rPr>
        <w:t>Društvo za upravljanje ne može uticati na ovaj rizik i jedino što može učiniti su savjeti potencijalnim investitorima u Fond da, prije donošenja odluke o kupovini udjela Fonda, dobro prouče poreske zakone Republike Srpske.</w:t>
      </w:r>
    </w:p>
    <w:p w14:paraId="4BF1C9A3" w14:textId="77777777" w:rsidR="00752125" w:rsidRPr="00752125" w:rsidRDefault="00752125" w:rsidP="00752125">
      <w:pPr>
        <w:pStyle w:val="BodyText"/>
        <w:rPr>
          <w:rFonts w:ascii="Cambria" w:hAnsi="Cambria"/>
          <w:noProof/>
          <w:sz w:val="22"/>
          <w:szCs w:val="22"/>
          <w:lang w:val="sr-Latn-BA"/>
        </w:rPr>
      </w:pPr>
      <w:r w:rsidRPr="00752125">
        <w:rPr>
          <w:rFonts w:ascii="Cambria" w:hAnsi="Cambria"/>
          <w:noProof/>
          <w:sz w:val="22"/>
          <w:szCs w:val="22"/>
          <w:lang w:val="sr-Latn-BA"/>
        </w:rPr>
        <w:t>Nivo rizika promjene poreskih propisa je umjeren.</w:t>
      </w:r>
    </w:p>
    <w:p w14:paraId="15D15DAA" w14:textId="77777777" w:rsidR="00752125" w:rsidRPr="00752125" w:rsidRDefault="00752125" w:rsidP="00752125">
      <w:pPr>
        <w:pStyle w:val="BodyText"/>
        <w:rPr>
          <w:rFonts w:ascii="Cambria" w:hAnsi="Cambria"/>
          <w:noProof/>
          <w:sz w:val="22"/>
          <w:szCs w:val="22"/>
          <w:lang w:val="sr-Latn-BA"/>
        </w:rPr>
      </w:pPr>
    </w:p>
    <w:p w14:paraId="1C03085E" w14:textId="77777777" w:rsidR="00752125" w:rsidRPr="008B7ABE" w:rsidRDefault="00752125" w:rsidP="00752125">
      <w:pPr>
        <w:pStyle w:val="BodyText"/>
        <w:rPr>
          <w:rFonts w:ascii="Cambria" w:hAnsi="Cambria"/>
          <w:b/>
          <w:bCs/>
          <w:noProof/>
          <w:sz w:val="22"/>
          <w:szCs w:val="22"/>
          <w:lang w:val="sr-Latn-BA"/>
        </w:rPr>
      </w:pPr>
      <w:r w:rsidRPr="008B7ABE">
        <w:rPr>
          <w:rFonts w:ascii="Cambria" w:hAnsi="Cambria"/>
          <w:b/>
          <w:bCs/>
          <w:noProof/>
          <w:sz w:val="22"/>
          <w:szCs w:val="22"/>
          <w:lang w:val="sr-Latn-BA"/>
        </w:rPr>
        <w:t>Politički i regulatorni rizik</w:t>
      </w:r>
    </w:p>
    <w:p w14:paraId="3B64CE2C" w14:textId="77777777" w:rsidR="00752125" w:rsidRPr="00752125" w:rsidRDefault="00752125" w:rsidP="00752125">
      <w:pPr>
        <w:pStyle w:val="BodyText"/>
        <w:rPr>
          <w:rFonts w:ascii="Cambria" w:hAnsi="Cambria"/>
          <w:noProof/>
          <w:sz w:val="22"/>
          <w:szCs w:val="22"/>
          <w:lang w:val="sr-Latn-BA"/>
        </w:rPr>
      </w:pPr>
      <w:r w:rsidRPr="00752125">
        <w:rPr>
          <w:rFonts w:ascii="Cambria" w:hAnsi="Cambria"/>
          <w:noProof/>
          <w:sz w:val="22"/>
          <w:szCs w:val="22"/>
          <w:lang w:val="sr-Latn-BA"/>
        </w:rPr>
        <w:t>Ovaj rizik predstavljaju rizike koji mogu dovesti do promjene vrijednosti imovine Fonda, usled negativnog uticaja političke nestabilnosti država, na čijim tržištima Fond investira svoju imovinu, obzirom da političke promjene u tim državama mogu dovesti do promjene vladine politike ili do promjene Zakona koji regulišu ulaganja na finansijskim tržištima, što za posledicu može imati promjenu poreskih zakona, promjenu vrijednosti domaće valute, ograničenje stranih investicija i više drugih negativnih posledica za investitore.</w:t>
      </w:r>
    </w:p>
    <w:p w14:paraId="0B7BF8B0" w14:textId="77777777" w:rsidR="003A200D" w:rsidRDefault="00752125" w:rsidP="00752125">
      <w:pPr>
        <w:pStyle w:val="BodyText"/>
        <w:rPr>
          <w:rFonts w:ascii="Cambria" w:hAnsi="Cambria"/>
          <w:noProof/>
          <w:sz w:val="22"/>
          <w:szCs w:val="22"/>
          <w:lang w:val="sr-Latn-BA"/>
        </w:rPr>
      </w:pPr>
      <w:r w:rsidRPr="00752125">
        <w:rPr>
          <w:rFonts w:ascii="Cambria" w:hAnsi="Cambria"/>
          <w:noProof/>
          <w:sz w:val="22"/>
          <w:szCs w:val="22"/>
          <w:lang w:val="sr-Latn-BA"/>
        </w:rPr>
        <w:t>Društvo za upravljanje ne može uticati na ovaj rizik, obzirom da nema mogućnost da utiče na političke događaje u državama u kojima investira ali je u obavezi da brzo i odgovorno reaguje,  kako bi zaštitilo imovinu Fonda.</w:t>
      </w:r>
    </w:p>
    <w:p w14:paraId="1432BBD8" w14:textId="0E41C053" w:rsidR="00752125" w:rsidRPr="00752125" w:rsidRDefault="00752125" w:rsidP="00752125">
      <w:pPr>
        <w:pStyle w:val="BodyText"/>
        <w:rPr>
          <w:rFonts w:ascii="Cambria" w:hAnsi="Cambria"/>
          <w:noProof/>
          <w:sz w:val="22"/>
          <w:szCs w:val="22"/>
          <w:lang w:val="sr-Latn-BA"/>
        </w:rPr>
      </w:pPr>
      <w:r w:rsidRPr="00752125">
        <w:rPr>
          <w:rFonts w:ascii="Cambria" w:hAnsi="Cambria"/>
          <w:noProof/>
          <w:sz w:val="22"/>
          <w:szCs w:val="22"/>
          <w:lang w:val="sr-Latn-BA"/>
        </w:rPr>
        <w:t>Nivo političkog i regulatornog rizika je umjeren.</w:t>
      </w:r>
    </w:p>
    <w:p w14:paraId="026139EA" w14:textId="77777777" w:rsidR="00752125" w:rsidRPr="008B7ABE" w:rsidRDefault="00752125" w:rsidP="00752125">
      <w:pPr>
        <w:pStyle w:val="BodyText"/>
        <w:rPr>
          <w:rFonts w:ascii="Cambria" w:hAnsi="Cambria"/>
          <w:b/>
          <w:bCs/>
          <w:noProof/>
          <w:sz w:val="22"/>
          <w:szCs w:val="22"/>
          <w:lang w:val="sr-Latn-BA"/>
        </w:rPr>
      </w:pPr>
      <w:r w:rsidRPr="008B7ABE">
        <w:rPr>
          <w:rFonts w:ascii="Cambria" w:hAnsi="Cambria"/>
          <w:b/>
          <w:bCs/>
          <w:noProof/>
          <w:sz w:val="22"/>
          <w:szCs w:val="22"/>
          <w:lang w:val="sr-Latn-BA"/>
        </w:rPr>
        <w:t>Rizik promjene pozitivnih propisa</w:t>
      </w:r>
    </w:p>
    <w:p w14:paraId="66F7797B" w14:textId="77777777" w:rsidR="00752125" w:rsidRPr="00752125" w:rsidRDefault="00752125" w:rsidP="00752125">
      <w:pPr>
        <w:pStyle w:val="BodyText"/>
        <w:rPr>
          <w:rFonts w:ascii="Cambria" w:hAnsi="Cambria"/>
          <w:noProof/>
          <w:sz w:val="22"/>
          <w:szCs w:val="22"/>
          <w:lang w:val="sr-Latn-BA"/>
        </w:rPr>
      </w:pPr>
      <w:r w:rsidRPr="00752125">
        <w:rPr>
          <w:rFonts w:ascii="Cambria" w:hAnsi="Cambria"/>
          <w:noProof/>
          <w:sz w:val="22"/>
          <w:szCs w:val="22"/>
          <w:lang w:val="sr-Latn-BA"/>
        </w:rPr>
        <w:t>Ovaj rizik predstavlja rizik nastanka gubitaka za Fond primjenom novih Zakona, koji su nepovoljniji za Fond u odnosu na prethodne Zakone.</w:t>
      </w:r>
    </w:p>
    <w:p w14:paraId="3EFC5BB9" w14:textId="77777777" w:rsidR="00752125" w:rsidRPr="00752125" w:rsidRDefault="00752125" w:rsidP="00752125">
      <w:pPr>
        <w:pStyle w:val="BodyText"/>
        <w:rPr>
          <w:rFonts w:ascii="Cambria" w:hAnsi="Cambria"/>
          <w:noProof/>
          <w:sz w:val="22"/>
          <w:szCs w:val="22"/>
          <w:lang w:val="sr-Latn-BA"/>
        </w:rPr>
      </w:pPr>
      <w:r w:rsidRPr="00752125">
        <w:rPr>
          <w:rFonts w:ascii="Cambria" w:hAnsi="Cambria"/>
          <w:noProof/>
          <w:sz w:val="22"/>
          <w:szCs w:val="22"/>
          <w:lang w:val="sr-Latn-BA"/>
        </w:rPr>
        <w:t>Kod ovog rizika postoji i dodatna opasnost tumačenja donosilaca Zakona i njegove primjene od strane domaćih Sudova, koje mogu negativno uticati na poslovanje Fonda.</w:t>
      </w:r>
    </w:p>
    <w:p w14:paraId="7257923C" w14:textId="77777777" w:rsidR="00752125" w:rsidRPr="00752125" w:rsidRDefault="00752125" w:rsidP="00752125">
      <w:pPr>
        <w:pStyle w:val="BodyText"/>
        <w:rPr>
          <w:rFonts w:ascii="Cambria" w:hAnsi="Cambria"/>
          <w:noProof/>
          <w:sz w:val="22"/>
          <w:szCs w:val="22"/>
          <w:lang w:val="sr-Latn-BA"/>
        </w:rPr>
      </w:pPr>
      <w:r w:rsidRPr="00752125">
        <w:rPr>
          <w:rFonts w:ascii="Cambria" w:hAnsi="Cambria"/>
          <w:noProof/>
          <w:sz w:val="22"/>
          <w:szCs w:val="22"/>
          <w:lang w:val="sr-Latn-BA"/>
        </w:rPr>
        <w:t>Društvo za upravljanje ne može uticati na ovaj rizik.</w:t>
      </w:r>
    </w:p>
    <w:p w14:paraId="66B7DC2C" w14:textId="2491F352" w:rsidR="00752125" w:rsidRPr="00523939" w:rsidRDefault="00752125" w:rsidP="00752125">
      <w:pPr>
        <w:pStyle w:val="BodyText"/>
        <w:rPr>
          <w:rFonts w:ascii="Cambria" w:hAnsi="Cambria"/>
          <w:noProof/>
          <w:sz w:val="22"/>
          <w:szCs w:val="22"/>
          <w:lang w:val="sr-Latn-BA"/>
        </w:rPr>
      </w:pPr>
      <w:r w:rsidRPr="00752125">
        <w:rPr>
          <w:rFonts w:ascii="Cambria" w:hAnsi="Cambria"/>
          <w:noProof/>
          <w:sz w:val="22"/>
          <w:szCs w:val="22"/>
          <w:lang w:val="sr-Latn-BA"/>
        </w:rPr>
        <w:t>Nivo rizika promjene pozitivnih propisa je umjeren</w:t>
      </w:r>
    </w:p>
    <w:p w14:paraId="00C37EB9" w14:textId="77777777" w:rsidR="00C548E1" w:rsidRDefault="00C548E1" w:rsidP="00163961">
      <w:pPr>
        <w:pStyle w:val="BodyText"/>
        <w:rPr>
          <w:rFonts w:ascii="Cambria" w:hAnsi="Cambria"/>
          <w:noProof/>
          <w:sz w:val="22"/>
          <w:szCs w:val="22"/>
          <w:lang w:val="sr-Latn-BA"/>
        </w:rPr>
      </w:pPr>
    </w:p>
    <w:p w14:paraId="53670AFD" w14:textId="195D4AA4" w:rsidR="0033759C" w:rsidRDefault="0033759C" w:rsidP="00163961">
      <w:pPr>
        <w:pStyle w:val="BodyText"/>
        <w:rPr>
          <w:rFonts w:ascii="Cambria" w:hAnsi="Cambria"/>
          <w:noProof/>
          <w:sz w:val="22"/>
          <w:szCs w:val="22"/>
          <w:lang w:val="sr-Latn-BA"/>
        </w:rPr>
      </w:pPr>
      <w:r w:rsidRPr="00A13C71">
        <w:rPr>
          <w:rFonts w:ascii="Cambria" w:hAnsi="Cambria"/>
          <w:noProof/>
          <w:sz w:val="22"/>
          <w:szCs w:val="22"/>
          <w:lang w:val="sr-Latn-BA"/>
        </w:rPr>
        <w:t xml:space="preserve">Banja Luka, </w:t>
      </w:r>
      <w:r w:rsidR="00636F43">
        <w:rPr>
          <w:rFonts w:ascii="Cambria" w:hAnsi="Cambria"/>
          <w:noProof/>
          <w:sz w:val="22"/>
          <w:szCs w:val="22"/>
          <w:lang w:val="sr-Latn-BA"/>
        </w:rPr>
        <w:t>febr</w:t>
      </w:r>
      <w:r w:rsidR="008B7ABE">
        <w:rPr>
          <w:rFonts w:ascii="Cambria" w:hAnsi="Cambria"/>
          <w:noProof/>
          <w:sz w:val="22"/>
          <w:szCs w:val="22"/>
          <w:lang w:val="sr-Latn-BA"/>
        </w:rPr>
        <w:t>ua</w:t>
      </w:r>
      <w:r w:rsidR="00973883">
        <w:rPr>
          <w:rFonts w:ascii="Cambria" w:hAnsi="Cambria"/>
          <w:noProof/>
          <w:sz w:val="22"/>
          <w:szCs w:val="22"/>
          <w:lang w:val="sr-Latn-BA"/>
        </w:rPr>
        <w:t>r</w:t>
      </w:r>
      <w:r w:rsidRPr="00A13C71">
        <w:rPr>
          <w:rFonts w:ascii="Cambria" w:hAnsi="Cambria"/>
          <w:noProof/>
          <w:sz w:val="22"/>
          <w:szCs w:val="22"/>
          <w:lang w:val="sr-Latn-BA"/>
        </w:rPr>
        <w:t xml:space="preserve"> 20</w:t>
      </w:r>
      <w:r w:rsidR="00DA78E7" w:rsidRPr="00A13C71">
        <w:rPr>
          <w:rFonts w:ascii="Cambria" w:hAnsi="Cambria"/>
          <w:noProof/>
          <w:sz w:val="22"/>
          <w:szCs w:val="22"/>
          <w:lang w:val="sr-Latn-BA"/>
        </w:rPr>
        <w:t>2</w:t>
      </w:r>
      <w:r w:rsidR="008B7ABE">
        <w:rPr>
          <w:rFonts w:ascii="Cambria" w:hAnsi="Cambria"/>
          <w:noProof/>
          <w:sz w:val="22"/>
          <w:szCs w:val="22"/>
          <w:lang w:val="sr-Latn-BA"/>
        </w:rPr>
        <w:t>4</w:t>
      </w:r>
      <w:r w:rsidRPr="00A13C71">
        <w:rPr>
          <w:rFonts w:ascii="Cambria" w:hAnsi="Cambria"/>
          <w:noProof/>
          <w:sz w:val="22"/>
          <w:szCs w:val="22"/>
          <w:lang w:val="sr-Latn-BA"/>
        </w:rPr>
        <w:t>. godine</w:t>
      </w:r>
      <w:r w:rsidR="00163961">
        <w:rPr>
          <w:rFonts w:ascii="Cambria" w:hAnsi="Cambria"/>
          <w:noProof/>
          <w:sz w:val="22"/>
          <w:szCs w:val="22"/>
          <w:lang w:val="sr-Latn-BA"/>
        </w:rPr>
        <w:t>.</w:t>
      </w:r>
      <w:r w:rsidR="003324D9">
        <w:rPr>
          <w:rFonts w:ascii="Cambria" w:hAnsi="Cambria"/>
          <w:noProof/>
          <w:sz w:val="22"/>
          <w:szCs w:val="22"/>
          <w:lang w:val="sr-Latn-BA"/>
        </w:rPr>
        <w:t xml:space="preserve"> </w:t>
      </w:r>
    </w:p>
    <w:p w14:paraId="475EE476" w14:textId="77777777" w:rsidR="00163961" w:rsidRPr="00A13C71" w:rsidRDefault="00163961" w:rsidP="00163961">
      <w:pPr>
        <w:pStyle w:val="BodyText"/>
        <w:rPr>
          <w:rFonts w:ascii="Cambria" w:hAnsi="Cambria"/>
          <w:noProof/>
          <w:sz w:val="22"/>
          <w:szCs w:val="22"/>
          <w:lang w:val="sr-Latn-BA"/>
        </w:rPr>
      </w:pPr>
    </w:p>
    <w:p w14:paraId="0914B117" w14:textId="77777777" w:rsidR="0033759C" w:rsidRPr="00A13C71" w:rsidRDefault="0033759C" w:rsidP="0033759C">
      <w:pPr>
        <w:pStyle w:val="BodyText"/>
        <w:rPr>
          <w:rFonts w:ascii="Cambria" w:hAnsi="Cambria"/>
          <w:noProof/>
          <w:sz w:val="22"/>
          <w:szCs w:val="22"/>
          <w:lang w:val="sr-Latn-BA"/>
        </w:rPr>
      </w:pPr>
      <w:r w:rsidRPr="00A13C71">
        <w:rPr>
          <w:rFonts w:ascii="Cambria" w:hAnsi="Cambria"/>
          <w:noProof/>
          <w:sz w:val="22"/>
          <w:szCs w:val="22"/>
          <w:lang w:val="sr-Latn-BA"/>
        </w:rPr>
        <w:t xml:space="preserve">Lice odgovorno za sastavljanje nota:  </w:t>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t xml:space="preserve">Izvršni direktori: </w:t>
      </w:r>
    </w:p>
    <w:p w14:paraId="676F3F22" w14:textId="4D483B4D" w:rsidR="00FA20CE" w:rsidRPr="00A13C71" w:rsidRDefault="00FA20CE" w:rsidP="0033759C">
      <w:pPr>
        <w:pStyle w:val="BodyText"/>
        <w:rPr>
          <w:rFonts w:ascii="Cambria" w:hAnsi="Cambria"/>
          <w:noProof/>
          <w:sz w:val="22"/>
          <w:szCs w:val="22"/>
          <w:lang w:val="sr-Latn-BA"/>
        </w:rPr>
      </w:pPr>
      <w:r w:rsidRPr="00A13C71">
        <w:rPr>
          <w:rFonts w:ascii="Cambria" w:hAnsi="Cambria"/>
          <w:noProof/>
          <w:sz w:val="22"/>
          <w:szCs w:val="22"/>
          <w:lang w:val="sr-Latn-BA"/>
        </w:rPr>
        <w:t>_____________________________</w:t>
      </w:r>
      <w:r w:rsidR="0033759C" w:rsidRPr="00A13C71">
        <w:rPr>
          <w:rFonts w:ascii="Cambria" w:hAnsi="Cambria"/>
          <w:noProof/>
          <w:sz w:val="22"/>
          <w:szCs w:val="22"/>
          <w:lang w:val="sr-Latn-BA"/>
        </w:rPr>
        <w:tab/>
      </w:r>
      <w:r w:rsidR="0033759C" w:rsidRPr="00A13C71">
        <w:rPr>
          <w:rFonts w:ascii="Cambria" w:hAnsi="Cambria"/>
          <w:noProof/>
          <w:sz w:val="22"/>
          <w:szCs w:val="22"/>
          <w:lang w:val="sr-Latn-BA"/>
        </w:rPr>
        <w:tab/>
      </w:r>
      <w:r w:rsidR="0033759C" w:rsidRPr="00A13C71">
        <w:rPr>
          <w:rFonts w:ascii="Cambria" w:hAnsi="Cambria"/>
          <w:noProof/>
          <w:sz w:val="22"/>
          <w:szCs w:val="22"/>
          <w:lang w:val="sr-Latn-BA"/>
        </w:rPr>
        <w:tab/>
      </w:r>
      <w:r w:rsidR="0033759C" w:rsidRPr="00A13C71">
        <w:rPr>
          <w:rFonts w:ascii="Cambria" w:hAnsi="Cambria"/>
          <w:noProof/>
          <w:sz w:val="22"/>
          <w:szCs w:val="22"/>
          <w:lang w:val="sr-Latn-BA"/>
        </w:rPr>
        <w:tab/>
      </w:r>
      <w:r w:rsidR="0033759C" w:rsidRPr="00A13C71">
        <w:rPr>
          <w:rFonts w:ascii="Cambria" w:hAnsi="Cambria"/>
          <w:noProof/>
          <w:sz w:val="22"/>
          <w:szCs w:val="22"/>
          <w:lang w:val="sr-Latn-BA"/>
        </w:rPr>
        <w:tab/>
      </w:r>
      <w:r w:rsidRPr="00A13C71">
        <w:rPr>
          <w:rFonts w:ascii="Cambria" w:hAnsi="Cambria"/>
          <w:noProof/>
          <w:sz w:val="22"/>
          <w:szCs w:val="22"/>
          <w:lang w:val="sr-Latn-BA"/>
        </w:rPr>
        <w:t xml:space="preserve">                            __________________________</w:t>
      </w:r>
    </w:p>
    <w:p w14:paraId="4D853AC4" w14:textId="40AA82F6" w:rsidR="0033759C" w:rsidRPr="00A13C71" w:rsidRDefault="0033759C" w:rsidP="0033759C">
      <w:pPr>
        <w:pStyle w:val="BodyText"/>
        <w:rPr>
          <w:rFonts w:ascii="Cambria" w:hAnsi="Cambria"/>
          <w:noProof/>
          <w:sz w:val="22"/>
          <w:szCs w:val="22"/>
          <w:lang w:val="sr-Latn-BA"/>
        </w:rPr>
      </w:pPr>
      <w:r w:rsidRPr="00A13C71">
        <w:rPr>
          <w:rFonts w:ascii="Cambria" w:hAnsi="Cambria"/>
          <w:noProof/>
          <w:sz w:val="22"/>
          <w:szCs w:val="22"/>
          <w:lang w:val="sr-Latn-BA"/>
        </w:rPr>
        <w:t xml:space="preserve">Milja Tomašević  </w:t>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00091F10" w:rsidRPr="00A13C71">
        <w:rPr>
          <w:rFonts w:ascii="Cambria" w:hAnsi="Cambria"/>
          <w:noProof/>
          <w:sz w:val="22"/>
          <w:szCs w:val="22"/>
          <w:lang w:val="sr-Latn-BA"/>
        </w:rPr>
        <w:t>Pero Jandrić</w:t>
      </w:r>
    </w:p>
    <w:p w14:paraId="0B2C42CE" w14:textId="0847C16E" w:rsidR="0033759C" w:rsidRPr="00A13C71" w:rsidRDefault="0033759C" w:rsidP="0033759C">
      <w:pPr>
        <w:pStyle w:val="BodyText"/>
        <w:rPr>
          <w:rFonts w:ascii="Cambria" w:hAnsi="Cambria"/>
          <w:noProof/>
          <w:sz w:val="22"/>
          <w:szCs w:val="22"/>
          <w:lang w:val="sr-Latn-BA"/>
        </w:rPr>
      </w:pPr>
      <w:r w:rsidRPr="00A13C71">
        <w:rPr>
          <w:rFonts w:ascii="Cambria" w:hAnsi="Cambria"/>
          <w:noProof/>
          <w:sz w:val="22"/>
          <w:szCs w:val="22"/>
          <w:lang w:val="sr-Latn-BA"/>
        </w:rPr>
        <w:t>Licenca br.SRT-</w:t>
      </w:r>
      <w:r w:rsidR="006F6E99" w:rsidRPr="00A13C71">
        <w:rPr>
          <w:rFonts w:ascii="Cambria" w:hAnsi="Cambria"/>
          <w:noProof/>
          <w:sz w:val="22"/>
          <w:szCs w:val="22"/>
          <w:lang w:val="sr-Latn-BA"/>
        </w:rPr>
        <w:t>0</w:t>
      </w:r>
      <w:r w:rsidR="006511E2">
        <w:rPr>
          <w:rFonts w:ascii="Cambria" w:hAnsi="Cambria"/>
          <w:noProof/>
          <w:sz w:val="22"/>
          <w:szCs w:val="22"/>
          <w:lang w:val="sr-Latn-BA"/>
        </w:rPr>
        <w:t>547</w:t>
      </w:r>
      <w:r w:rsidR="006F6E99" w:rsidRPr="00A13C71">
        <w:rPr>
          <w:rFonts w:ascii="Cambria" w:hAnsi="Cambria"/>
          <w:noProof/>
          <w:sz w:val="22"/>
          <w:szCs w:val="22"/>
          <w:lang w:val="sr-Latn-BA"/>
        </w:rPr>
        <w:t>/</w:t>
      </w:r>
      <w:r w:rsidR="002C086C" w:rsidRPr="00A13C71">
        <w:rPr>
          <w:rFonts w:ascii="Cambria" w:hAnsi="Cambria"/>
          <w:noProof/>
          <w:sz w:val="22"/>
          <w:szCs w:val="22"/>
          <w:lang w:val="sr-Latn-BA"/>
        </w:rPr>
        <w:t>2</w:t>
      </w:r>
      <w:r w:rsidR="006511E2">
        <w:rPr>
          <w:rFonts w:ascii="Cambria" w:hAnsi="Cambria"/>
          <w:noProof/>
          <w:sz w:val="22"/>
          <w:szCs w:val="22"/>
          <w:lang w:val="sr-Latn-BA"/>
        </w:rPr>
        <w:t>4</w:t>
      </w:r>
      <w:r w:rsidRPr="00A13C71">
        <w:rPr>
          <w:rFonts w:ascii="Cambria" w:hAnsi="Cambria"/>
          <w:noProof/>
          <w:sz w:val="22"/>
          <w:szCs w:val="22"/>
          <w:lang w:val="sr-Latn-BA"/>
        </w:rPr>
        <w:t xml:space="preserve">         </w:t>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00FA20CE" w:rsidRPr="00A13C71">
        <w:rPr>
          <w:rFonts w:ascii="Cambria" w:hAnsi="Cambria"/>
          <w:noProof/>
          <w:sz w:val="22"/>
          <w:szCs w:val="22"/>
          <w:lang w:val="sr-Latn-BA"/>
        </w:rPr>
        <w:tab/>
      </w:r>
      <w:r w:rsidR="00FA20CE" w:rsidRPr="00A13C71">
        <w:rPr>
          <w:rFonts w:ascii="Cambria" w:hAnsi="Cambria"/>
          <w:noProof/>
          <w:sz w:val="22"/>
          <w:szCs w:val="22"/>
          <w:lang w:val="sr-Latn-BA"/>
        </w:rPr>
        <w:tab/>
        <w:t>_________________________</w:t>
      </w:r>
    </w:p>
    <w:p w14:paraId="3C0B84E5" w14:textId="3BA0012C" w:rsidR="0033759C" w:rsidRPr="00A13C71" w:rsidRDefault="0033759C" w:rsidP="0033759C">
      <w:pPr>
        <w:pStyle w:val="BodyText"/>
        <w:rPr>
          <w:rFonts w:ascii="Cambria" w:hAnsi="Cambria"/>
          <w:noProof/>
          <w:sz w:val="22"/>
          <w:szCs w:val="22"/>
          <w:lang w:val="sr-Latn-BA"/>
        </w:rPr>
      </w:pP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00DF39BD" w:rsidRPr="00A13C71">
        <w:rPr>
          <w:rFonts w:ascii="Cambria" w:hAnsi="Cambria"/>
          <w:noProof/>
          <w:sz w:val="22"/>
          <w:szCs w:val="22"/>
          <w:lang w:val="sr-Latn-BA"/>
        </w:rPr>
        <w:t>Vladan Jović</w:t>
      </w:r>
    </w:p>
    <w:p w14:paraId="27727517" w14:textId="7C9CEF3D" w:rsidR="0033759C" w:rsidRPr="00A13C71" w:rsidRDefault="008B7ABE" w:rsidP="008B7ABE">
      <w:pPr>
        <w:rPr>
          <w:rFonts w:ascii="Cambria" w:hAnsi="Cambria"/>
          <w:noProof/>
          <w:sz w:val="22"/>
          <w:szCs w:val="22"/>
          <w:lang w:val="sr-Latn-BA"/>
        </w:rPr>
      </w:pPr>
      <w:r>
        <w:rPr>
          <w:rFonts w:ascii="Cambria" w:hAnsi="Cambria"/>
          <w:noProof/>
          <w:sz w:val="22"/>
          <w:szCs w:val="22"/>
          <w:lang w:val="sr-Latn-BA"/>
        </w:rPr>
        <w:t xml:space="preserve">                                                            </w:t>
      </w:r>
      <w:r w:rsidR="0033759C" w:rsidRPr="00A13C71">
        <w:rPr>
          <w:rFonts w:ascii="Cambria" w:hAnsi="Cambria"/>
          <w:noProof/>
          <w:sz w:val="22"/>
          <w:szCs w:val="22"/>
          <w:lang w:val="sr-Latn-BA"/>
        </w:rPr>
        <w:t xml:space="preserve">     </w:t>
      </w:r>
      <w:r>
        <w:rPr>
          <w:rFonts w:ascii="Cambria" w:hAnsi="Cambria"/>
          <w:noProof/>
          <w:sz w:val="22"/>
          <w:szCs w:val="22"/>
          <w:lang w:val="sr-Latn-BA"/>
        </w:rPr>
        <w:t xml:space="preserve">                        </w:t>
      </w:r>
      <w:r w:rsidR="0033759C" w:rsidRPr="00A13C71">
        <w:rPr>
          <w:rFonts w:ascii="Cambria" w:hAnsi="Cambria"/>
          <w:noProof/>
          <w:sz w:val="22"/>
          <w:szCs w:val="22"/>
          <w:lang w:val="sr-Latn-BA"/>
        </w:rPr>
        <w:t xml:space="preserve">    (М.P)</w:t>
      </w:r>
    </w:p>
    <w:sectPr w:rsidR="0033759C" w:rsidRPr="00A13C71" w:rsidSect="00A6070A">
      <w:footerReference w:type="even" r:id="rId8"/>
      <w:footerReference w:type="default" r:id="rId9"/>
      <w:pgSz w:w="12240" w:h="15840"/>
      <w:pgMar w:top="993" w:right="851" w:bottom="851"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B55685" w14:textId="77777777" w:rsidR="00A6070A" w:rsidRDefault="00A6070A">
      <w:r>
        <w:separator/>
      </w:r>
    </w:p>
  </w:endnote>
  <w:endnote w:type="continuationSeparator" w:id="0">
    <w:p w14:paraId="1438FF72" w14:textId="77777777" w:rsidR="00A6070A" w:rsidRDefault="00A607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 Cirilica">
    <w:altName w:val="Courier New"/>
    <w:charset w:val="00"/>
    <w:family w:val="swiss"/>
    <w:pitch w:val="variable"/>
    <w:sig w:usb0="00000003" w:usb1="00000000" w:usb2="00000000" w:usb3="00000000" w:csb0="00000001" w:csb1="00000000"/>
  </w:font>
  <w:font w:name="Cambria">
    <w:altName w:val="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19E84" w14:textId="77777777" w:rsidR="00B8525D" w:rsidRDefault="00B8525D" w:rsidP="00DA45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40B1163" w14:textId="77777777" w:rsidR="00B8525D" w:rsidRDefault="00B8525D" w:rsidP="00DA450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87C45" w14:textId="77777777" w:rsidR="00B8525D" w:rsidRDefault="00B8525D" w:rsidP="00DA45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B5275">
      <w:rPr>
        <w:rStyle w:val="PageNumber"/>
        <w:noProof/>
      </w:rPr>
      <w:t>10</w:t>
    </w:r>
    <w:r>
      <w:rPr>
        <w:rStyle w:val="PageNumber"/>
      </w:rPr>
      <w:fldChar w:fldCharType="end"/>
    </w:r>
  </w:p>
  <w:p w14:paraId="6EF41484" w14:textId="77777777" w:rsidR="00B8525D" w:rsidRDefault="00B8525D" w:rsidP="00DA450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58B06F" w14:textId="77777777" w:rsidR="00A6070A" w:rsidRDefault="00A6070A">
      <w:r>
        <w:separator/>
      </w:r>
    </w:p>
  </w:footnote>
  <w:footnote w:type="continuationSeparator" w:id="0">
    <w:p w14:paraId="5A1D22F6" w14:textId="77777777" w:rsidR="00A6070A" w:rsidRDefault="00A607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B7D73"/>
    <w:multiLevelType w:val="hybridMultilevel"/>
    <w:tmpl w:val="E8FCAFA2"/>
    <w:lvl w:ilvl="0" w:tplc="E798435E">
      <w:start w:val="5"/>
      <w:numFmt w:val="bullet"/>
      <w:lvlText w:val="-"/>
      <w:lvlJc w:val="left"/>
      <w:pPr>
        <w:ind w:left="1080" w:hanging="360"/>
      </w:pPr>
      <w:rPr>
        <w:rFonts w:ascii="Calibri" w:eastAsiaTheme="minorHAnsi" w:hAnsi="Calibri" w:cstheme="minorBidi"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1" w15:restartNumberingAfterBreak="0">
    <w:nsid w:val="06866E9A"/>
    <w:multiLevelType w:val="hybridMultilevel"/>
    <w:tmpl w:val="2256A6BA"/>
    <w:lvl w:ilvl="0" w:tplc="B8F2A4B4">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 w15:restartNumberingAfterBreak="0">
    <w:nsid w:val="0BA56487"/>
    <w:multiLevelType w:val="hybridMultilevel"/>
    <w:tmpl w:val="DC089B7C"/>
    <w:lvl w:ilvl="0" w:tplc="E798435E">
      <w:start w:val="5"/>
      <w:numFmt w:val="bullet"/>
      <w:lvlText w:val="-"/>
      <w:lvlJc w:val="left"/>
      <w:pPr>
        <w:ind w:left="720" w:hanging="360"/>
      </w:pPr>
      <w:rPr>
        <w:rFonts w:ascii="Calibri" w:eastAsiaTheme="minorHAnsi" w:hAnsi="Calibri" w:cstheme="minorBid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15:restartNumberingAfterBreak="0">
    <w:nsid w:val="0D6B1965"/>
    <w:multiLevelType w:val="hybridMultilevel"/>
    <w:tmpl w:val="31E5218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13206FEE"/>
    <w:multiLevelType w:val="multilevel"/>
    <w:tmpl w:val="B4AA58CA"/>
    <w:lvl w:ilvl="0">
      <w:start w:val="2"/>
      <w:numFmt w:val="decimal"/>
      <w:lvlText w:val="%1."/>
      <w:lvlJc w:val="left"/>
      <w:pPr>
        <w:ind w:left="450" w:hanging="45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5" w15:restartNumberingAfterBreak="0">
    <w:nsid w:val="13DC0DC3"/>
    <w:multiLevelType w:val="multilevel"/>
    <w:tmpl w:val="18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4D97DDA"/>
    <w:multiLevelType w:val="hybridMultilevel"/>
    <w:tmpl w:val="BD82D1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2097D6C"/>
    <w:multiLevelType w:val="hybridMultilevel"/>
    <w:tmpl w:val="D3C27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CF5E29"/>
    <w:multiLevelType w:val="hybridMultilevel"/>
    <w:tmpl w:val="23E8C1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FBB6706"/>
    <w:multiLevelType w:val="hybridMultilevel"/>
    <w:tmpl w:val="C7FA4AF4"/>
    <w:lvl w:ilvl="0" w:tplc="111E0DD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440F3C"/>
    <w:multiLevelType w:val="hybridMultilevel"/>
    <w:tmpl w:val="4ECC749A"/>
    <w:lvl w:ilvl="0" w:tplc="181A0001">
      <w:start w:val="1"/>
      <w:numFmt w:val="bullet"/>
      <w:lvlText w:val=""/>
      <w:lvlJc w:val="left"/>
      <w:pPr>
        <w:ind w:left="720" w:hanging="360"/>
      </w:pPr>
      <w:rPr>
        <w:rFonts w:ascii="Symbol" w:hAnsi="Symbol"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1" w15:restartNumberingAfterBreak="0">
    <w:nsid w:val="39801D4B"/>
    <w:multiLevelType w:val="multilevel"/>
    <w:tmpl w:val="F72E6404"/>
    <w:lvl w:ilvl="0">
      <w:start w:val="1"/>
      <w:numFmt w:val="upperRoman"/>
      <w:pStyle w:val="Heading1"/>
      <w:lvlText w:val="%1."/>
      <w:lvlJc w:val="left"/>
      <w:pPr>
        <w:tabs>
          <w:tab w:val="num" w:pos="720"/>
        </w:tabs>
        <w:ind w:left="0" w:firstLine="0"/>
      </w:pPr>
      <w:rPr>
        <w:rFonts w:ascii="Times New Roman" w:hAnsi="Times New Roman" w:hint="default"/>
      </w:rPr>
    </w:lvl>
    <w:lvl w:ilvl="1">
      <w:start w:val="1"/>
      <w:numFmt w:val="decimal"/>
      <w:pStyle w:val="Heading2"/>
      <w:lvlText w:val="%2."/>
      <w:lvlJc w:val="left"/>
      <w:pPr>
        <w:tabs>
          <w:tab w:val="num" w:pos="1440"/>
        </w:tabs>
        <w:ind w:left="720" w:firstLine="0"/>
      </w:pPr>
      <w:rPr>
        <w:rFonts w:hint="default"/>
      </w:rPr>
    </w:lvl>
    <w:lvl w:ilvl="2">
      <w:start w:val="1"/>
      <w:numFmt w:val="none"/>
      <w:pStyle w:val="Heading3"/>
      <w:lvlText w:val=""/>
      <w:lvlJc w:val="left"/>
      <w:pPr>
        <w:tabs>
          <w:tab w:val="num" w:pos="1800"/>
        </w:tabs>
        <w:ind w:left="1440" w:firstLine="0"/>
      </w:pPr>
      <w:rPr>
        <w:rFonts w:hint="default"/>
      </w:rPr>
    </w:lvl>
    <w:lvl w:ilvl="3">
      <w:start w:val="1"/>
      <w:numFmt w:val="lowerLetter"/>
      <w:pStyle w:val="Heading4"/>
      <w:lvlText w:val="%4)"/>
      <w:lvlJc w:val="left"/>
      <w:pPr>
        <w:tabs>
          <w:tab w:val="num" w:pos="2520"/>
        </w:tabs>
        <w:ind w:left="216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6"/>
      <w:numFmt w:val="decimal"/>
      <w:pStyle w:val="Heading6"/>
      <w:lvlText w:val="Члан %6."/>
      <w:lvlJc w:val="left"/>
      <w:pPr>
        <w:tabs>
          <w:tab w:val="num" w:pos="504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12" w15:restartNumberingAfterBreak="0">
    <w:nsid w:val="39E71941"/>
    <w:multiLevelType w:val="hybridMultilevel"/>
    <w:tmpl w:val="680881CA"/>
    <w:lvl w:ilvl="0" w:tplc="04090001">
      <w:start w:val="1"/>
      <w:numFmt w:val="bullet"/>
      <w:lvlText w:val=""/>
      <w:lvlJc w:val="left"/>
      <w:pPr>
        <w:tabs>
          <w:tab w:val="num" w:pos="788"/>
        </w:tabs>
        <w:ind w:left="788" w:hanging="360"/>
      </w:pPr>
      <w:rPr>
        <w:rFonts w:ascii="Symbol" w:hAnsi="Symbol" w:hint="default"/>
      </w:rPr>
    </w:lvl>
    <w:lvl w:ilvl="1" w:tplc="04090003" w:tentative="1">
      <w:start w:val="1"/>
      <w:numFmt w:val="bullet"/>
      <w:lvlText w:val="o"/>
      <w:lvlJc w:val="left"/>
      <w:pPr>
        <w:tabs>
          <w:tab w:val="num" w:pos="1508"/>
        </w:tabs>
        <w:ind w:left="1508" w:hanging="360"/>
      </w:pPr>
      <w:rPr>
        <w:rFonts w:ascii="Courier New" w:hAnsi="Courier New" w:cs="Courier New" w:hint="default"/>
      </w:rPr>
    </w:lvl>
    <w:lvl w:ilvl="2" w:tplc="04090005" w:tentative="1">
      <w:start w:val="1"/>
      <w:numFmt w:val="bullet"/>
      <w:lvlText w:val=""/>
      <w:lvlJc w:val="left"/>
      <w:pPr>
        <w:tabs>
          <w:tab w:val="num" w:pos="2228"/>
        </w:tabs>
        <w:ind w:left="2228" w:hanging="360"/>
      </w:pPr>
      <w:rPr>
        <w:rFonts w:ascii="Wingdings" w:hAnsi="Wingdings" w:hint="default"/>
      </w:rPr>
    </w:lvl>
    <w:lvl w:ilvl="3" w:tplc="04090001" w:tentative="1">
      <w:start w:val="1"/>
      <w:numFmt w:val="bullet"/>
      <w:lvlText w:val=""/>
      <w:lvlJc w:val="left"/>
      <w:pPr>
        <w:tabs>
          <w:tab w:val="num" w:pos="2948"/>
        </w:tabs>
        <w:ind w:left="2948" w:hanging="360"/>
      </w:pPr>
      <w:rPr>
        <w:rFonts w:ascii="Symbol" w:hAnsi="Symbol" w:hint="default"/>
      </w:rPr>
    </w:lvl>
    <w:lvl w:ilvl="4" w:tplc="04090003" w:tentative="1">
      <w:start w:val="1"/>
      <w:numFmt w:val="bullet"/>
      <w:lvlText w:val="o"/>
      <w:lvlJc w:val="left"/>
      <w:pPr>
        <w:tabs>
          <w:tab w:val="num" w:pos="3668"/>
        </w:tabs>
        <w:ind w:left="3668" w:hanging="360"/>
      </w:pPr>
      <w:rPr>
        <w:rFonts w:ascii="Courier New" w:hAnsi="Courier New" w:cs="Courier New" w:hint="default"/>
      </w:rPr>
    </w:lvl>
    <w:lvl w:ilvl="5" w:tplc="04090005" w:tentative="1">
      <w:start w:val="1"/>
      <w:numFmt w:val="bullet"/>
      <w:lvlText w:val=""/>
      <w:lvlJc w:val="left"/>
      <w:pPr>
        <w:tabs>
          <w:tab w:val="num" w:pos="4388"/>
        </w:tabs>
        <w:ind w:left="4388" w:hanging="360"/>
      </w:pPr>
      <w:rPr>
        <w:rFonts w:ascii="Wingdings" w:hAnsi="Wingdings" w:hint="default"/>
      </w:rPr>
    </w:lvl>
    <w:lvl w:ilvl="6" w:tplc="04090001" w:tentative="1">
      <w:start w:val="1"/>
      <w:numFmt w:val="bullet"/>
      <w:lvlText w:val=""/>
      <w:lvlJc w:val="left"/>
      <w:pPr>
        <w:tabs>
          <w:tab w:val="num" w:pos="5108"/>
        </w:tabs>
        <w:ind w:left="5108" w:hanging="360"/>
      </w:pPr>
      <w:rPr>
        <w:rFonts w:ascii="Symbol" w:hAnsi="Symbol" w:hint="default"/>
      </w:rPr>
    </w:lvl>
    <w:lvl w:ilvl="7" w:tplc="04090003" w:tentative="1">
      <w:start w:val="1"/>
      <w:numFmt w:val="bullet"/>
      <w:lvlText w:val="o"/>
      <w:lvlJc w:val="left"/>
      <w:pPr>
        <w:tabs>
          <w:tab w:val="num" w:pos="5828"/>
        </w:tabs>
        <w:ind w:left="5828" w:hanging="360"/>
      </w:pPr>
      <w:rPr>
        <w:rFonts w:ascii="Courier New" w:hAnsi="Courier New" w:cs="Courier New" w:hint="default"/>
      </w:rPr>
    </w:lvl>
    <w:lvl w:ilvl="8" w:tplc="04090005" w:tentative="1">
      <w:start w:val="1"/>
      <w:numFmt w:val="bullet"/>
      <w:lvlText w:val=""/>
      <w:lvlJc w:val="left"/>
      <w:pPr>
        <w:tabs>
          <w:tab w:val="num" w:pos="6548"/>
        </w:tabs>
        <w:ind w:left="6548" w:hanging="360"/>
      </w:pPr>
      <w:rPr>
        <w:rFonts w:ascii="Wingdings" w:hAnsi="Wingdings" w:hint="default"/>
      </w:rPr>
    </w:lvl>
  </w:abstractNum>
  <w:abstractNum w:abstractNumId="13" w15:restartNumberingAfterBreak="0">
    <w:nsid w:val="3FD91DF0"/>
    <w:multiLevelType w:val="hybridMultilevel"/>
    <w:tmpl w:val="525AD28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6D47C37"/>
    <w:multiLevelType w:val="hybridMultilevel"/>
    <w:tmpl w:val="06AC3F14"/>
    <w:lvl w:ilvl="0" w:tplc="181A0001">
      <w:start w:val="1"/>
      <w:numFmt w:val="bullet"/>
      <w:lvlText w:val=""/>
      <w:lvlJc w:val="left"/>
      <w:pPr>
        <w:ind w:left="720" w:hanging="360"/>
      </w:pPr>
      <w:rPr>
        <w:rFonts w:ascii="Symbol" w:hAnsi="Symbol" w:hint="default"/>
      </w:rPr>
    </w:lvl>
    <w:lvl w:ilvl="1" w:tplc="3AFE6F40">
      <w:numFmt w:val="bullet"/>
      <w:lvlText w:val="-"/>
      <w:lvlJc w:val="left"/>
      <w:pPr>
        <w:ind w:left="1800" w:hanging="720"/>
      </w:pPr>
      <w:rPr>
        <w:rFonts w:ascii="Tahoma" w:eastAsia="Times New Roman" w:hAnsi="Tahoma" w:cs="Tahoma"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5" w15:restartNumberingAfterBreak="0">
    <w:nsid w:val="482625D0"/>
    <w:multiLevelType w:val="hybridMultilevel"/>
    <w:tmpl w:val="92426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96F71A3"/>
    <w:multiLevelType w:val="hybridMultilevel"/>
    <w:tmpl w:val="D806D8F0"/>
    <w:lvl w:ilvl="0" w:tplc="6E3A3C4C">
      <w:start w:val="1"/>
      <w:numFmt w:val="decimal"/>
      <w:lvlText w:val="%1."/>
      <w:lvlJc w:val="left"/>
      <w:pPr>
        <w:tabs>
          <w:tab w:val="num" w:pos="397"/>
        </w:tabs>
        <w:ind w:left="397" w:hanging="397"/>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1756C11C">
      <w:start w:val="2"/>
      <w:numFmt w:val="bullet"/>
      <w:lvlText w:val="-"/>
      <w:lvlJc w:val="left"/>
      <w:pPr>
        <w:tabs>
          <w:tab w:val="num" w:pos="2880"/>
        </w:tabs>
        <w:ind w:left="2880" w:hanging="360"/>
      </w:pPr>
      <w:rPr>
        <w:rFonts w:ascii="Times New Roman" w:eastAsia="Times New Roman" w:hAnsi="Times New Roman" w:cs="Times New Roman"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5B243AA"/>
    <w:multiLevelType w:val="multilevel"/>
    <w:tmpl w:val="422ACDC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18" w15:restartNumberingAfterBreak="0">
    <w:nsid w:val="596B29B9"/>
    <w:multiLevelType w:val="hybridMultilevel"/>
    <w:tmpl w:val="B646130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5DDE59EF"/>
    <w:multiLevelType w:val="hybridMultilevel"/>
    <w:tmpl w:val="A26C8E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9400088"/>
    <w:multiLevelType w:val="hybridMultilevel"/>
    <w:tmpl w:val="3F38D010"/>
    <w:lvl w:ilvl="0" w:tplc="6ECE5DFC">
      <w:start w:val="1"/>
      <w:numFmt w:val="decimal"/>
      <w:lvlText w:val="%1."/>
      <w:lvlJc w:val="left"/>
      <w:pPr>
        <w:tabs>
          <w:tab w:val="num" w:pos="720"/>
        </w:tabs>
        <w:ind w:left="720" w:hanging="360"/>
      </w:pPr>
      <w:rPr>
        <w:rFonts w:hint="default"/>
      </w:rPr>
    </w:lvl>
    <w:lvl w:ilvl="1" w:tplc="244A712E">
      <w:numFmt w:val="none"/>
      <w:lvlText w:val=""/>
      <w:lvlJc w:val="left"/>
      <w:pPr>
        <w:tabs>
          <w:tab w:val="num" w:pos="360"/>
        </w:tabs>
      </w:pPr>
    </w:lvl>
    <w:lvl w:ilvl="2" w:tplc="7538559C">
      <w:numFmt w:val="none"/>
      <w:lvlText w:val=""/>
      <w:lvlJc w:val="left"/>
      <w:pPr>
        <w:tabs>
          <w:tab w:val="num" w:pos="360"/>
        </w:tabs>
      </w:pPr>
    </w:lvl>
    <w:lvl w:ilvl="3" w:tplc="CF709032">
      <w:numFmt w:val="none"/>
      <w:lvlText w:val=""/>
      <w:lvlJc w:val="left"/>
      <w:pPr>
        <w:tabs>
          <w:tab w:val="num" w:pos="360"/>
        </w:tabs>
      </w:pPr>
    </w:lvl>
    <w:lvl w:ilvl="4" w:tplc="4524DA48">
      <w:numFmt w:val="none"/>
      <w:lvlText w:val=""/>
      <w:lvlJc w:val="left"/>
      <w:pPr>
        <w:tabs>
          <w:tab w:val="num" w:pos="360"/>
        </w:tabs>
      </w:pPr>
    </w:lvl>
    <w:lvl w:ilvl="5" w:tplc="9E78F426">
      <w:numFmt w:val="none"/>
      <w:lvlText w:val=""/>
      <w:lvlJc w:val="left"/>
      <w:pPr>
        <w:tabs>
          <w:tab w:val="num" w:pos="360"/>
        </w:tabs>
      </w:pPr>
    </w:lvl>
    <w:lvl w:ilvl="6" w:tplc="DA520BAC">
      <w:numFmt w:val="none"/>
      <w:lvlText w:val=""/>
      <w:lvlJc w:val="left"/>
      <w:pPr>
        <w:tabs>
          <w:tab w:val="num" w:pos="360"/>
        </w:tabs>
      </w:pPr>
    </w:lvl>
    <w:lvl w:ilvl="7" w:tplc="0756DADA">
      <w:numFmt w:val="none"/>
      <w:lvlText w:val=""/>
      <w:lvlJc w:val="left"/>
      <w:pPr>
        <w:tabs>
          <w:tab w:val="num" w:pos="360"/>
        </w:tabs>
      </w:pPr>
    </w:lvl>
    <w:lvl w:ilvl="8" w:tplc="8592D35E">
      <w:numFmt w:val="none"/>
      <w:lvlText w:val=""/>
      <w:lvlJc w:val="left"/>
      <w:pPr>
        <w:tabs>
          <w:tab w:val="num" w:pos="360"/>
        </w:tabs>
      </w:pPr>
    </w:lvl>
  </w:abstractNum>
  <w:abstractNum w:abstractNumId="21" w15:restartNumberingAfterBreak="0">
    <w:nsid w:val="6EA9130F"/>
    <w:multiLevelType w:val="hybridMultilevel"/>
    <w:tmpl w:val="27A2F642"/>
    <w:lvl w:ilvl="0" w:tplc="04090011">
      <w:start w:val="1"/>
      <w:numFmt w:val="decimal"/>
      <w:lvlText w:val="%1)"/>
      <w:lvlJc w:val="left"/>
      <w:pPr>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7467ED9"/>
    <w:multiLevelType w:val="hybridMultilevel"/>
    <w:tmpl w:val="49941B50"/>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79FE696C"/>
    <w:multiLevelType w:val="hybridMultilevel"/>
    <w:tmpl w:val="577A6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C20378A"/>
    <w:multiLevelType w:val="hybridMultilevel"/>
    <w:tmpl w:val="E6AE6758"/>
    <w:lvl w:ilvl="0" w:tplc="B776A86C">
      <w:start w:val="2"/>
      <w:numFmt w:val="decimal"/>
      <w:lvlText w:val="%1."/>
      <w:lvlJc w:val="left"/>
      <w:pPr>
        <w:tabs>
          <w:tab w:val="num" w:pos="1085"/>
        </w:tabs>
        <w:ind w:left="1085" w:hanging="600"/>
      </w:pPr>
      <w:rPr>
        <w:rFonts w:hint="default"/>
        <w:b/>
      </w:rPr>
    </w:lvl>
    <w:lvl w:ilvl="1" w:tplc="04090019" w:tentative="1">
      <w:start w:val="1"/>
      <w:numFmt w:val="lowerLetter"/>
      <w:lvlText w:val="%2."/>
      <w:lvlJc w:val="left"/>
      <w:pPr>
        <w:tabs>
          <w:tab w:val="num" w:pos="1565"/>
        </w:tabs>
        <w:ind w:left="1565" w:hanging="360"/>
      </w:pPr>
    </w:lvl>
    <w:lvl w:ilvl="2" w:tplc="0409001B" w:tentative="1">
      <w:start w:val="1"/>
      <w:numFmt w:val="lowerRoman"/>
      <w:lvlText w:val="%3."/>
      <w:lvlJc w:val="right"/>
      <w:pPr>
        <w:tabs>
          <w:tab w:val="num" w:pos="2285"/>
        </w:tabs>
        <w:ind w:left="2285" w:hanging="180"/>
      </w:pPr>
    </w:lvl>
    <w:lvl w:ilvl="3" w:tplc="0409000F" w:tentative="1">
      <w:start w:val="1"/>
      <w:numFmt w:val="decimal"/>
      <w:lvlText w:val="%4."/>
      <w:lvlJc w:val="left"/>
      <w:pPr>
        <w:tabs>
          <w:tab w:val="num" w:pos="3005"/>
        </w:tabs>
        <w:ind w:left="3005" w:hanging="360"/>
      </w:pPr>
    </w:lvl>
    <w:lvl w:ilvl="4" w:tplc="04090019" w:tentative="1">
      <w:start w:val="1"/>
      <w:numFmt w:val="lowerLetter"/>
      <w:lvlText w:val="%5."/>
      <w:lvlJc w:val="left"/>
      <w:pPr>
        <w:tabs>
          <w:tab w:val="num" w:pos="3725"/>
        </w:tabs>
        <w:ind w:left="3725" w:hanging="360"/>
      </w:pPr>
    </w:lvl>
    <w:lvl w:ilvl="5" w:tplc="0409001B" w:tentative="1">
      <w:start w:val="1"/>
      <w:numFmt w:val="lowerRoman"/>
      <w:lvlText w:val="%6."/>
      <w:lvlJc w:val="right"/>
      <w:pPr>
        <w:tabs>
          <w:tab w:val="num" w:pos="4445"/>
        </w:tabs>
        <w:ind w:left="4445" w:hanging="180"/>
      </w:pPr>
    </w:lvl>
    <w:lvl w:ilvl="6" w:tplc="0409000F" w:tentative="1">
      <w:start w:val="1"/>
      <w:numFmt w:val="decimal"/>
      <w:lvlText w:val="%7."/>
      <w:lvlJc w:val="left"/>
      <w:pPr>
        <w:tabs>
          <w:tab w:val="num" w:pos="5165"/>
        </w:tabs>
        <w:ind w:left="5165" w:hanging="360"/>
      </w:pPr>
    </w:lvl>
    <w:lvl w:ilvl="7" w:tplc="04090019" w:tentative="1">
      <w:start w:val="1"/>
      <w:numFmt w:val="lowerLetter"/>
      <w:lvlText w:val="%8."/>
      <w:lvlJc w:val="left"/>
      <w:pPr>
        <w:tabs>
          <w:tab w:val="num" w:pos="5885"/>
        </w:tabs>
        <w:ind w:left="5885" w:hanging="360"/>
      </w:pPr>
    </w:lvl>
    <w:lvl w:ilvl="8" w:tplc="0409001B" w:tentative="1">
      <w:start w:val="1"/>
      <w:numFmt w:val="lowerRoman"/>
      <w:lvlText w:val="%9."/>
      <w:lvlJc w:val="right"/>
      <w:pPr>
        <w:tabs>
          <w:tab w:val="num" w:pos="6605"/>
        </w:tabs>
        <w:ind w:left="6605" w:hanging="180"/>
      </w:pPr>
    </w:lvl>
  </w:abstractNum>
  <w:num w:numId="1" w16cid:durableId="784664187">
    <w:abstractNumId w:val="18"/>
  </w:num>
  <w:num w:numId="2" w16cid:durableId="1453130484">
    <w:abstractNumId w:val="8"/>
  </w:num>
  <w:num w:numId="3" w16cid:durableId="124550531">
    <w:abstractNumId w:val="20"/>
  </w:num>
  <w:num w:numId="4" w16cid:durableId="2123374972">
    <w:abstractNumId w:val="11"/>
  </w:num>
  <w:num w:numId="5" w16cid:durableId="1989551643">
    <w:abstractNumId w:val="13"/>
  </w:num>
  <w:num w:numId="6" w16cid:durableId="1177891841">
    <w:abstractNumId w:val="22"/>
  </w:num>
  <w:num w:numId="7" w16cid:durableId="1815365371">
    <w:abstractNumId w:val="24"/>
  </w:num>
  <w:num w:numId="8" w16cid:durableId="617182957">
    <w:abstractNumId w:val="16"/>
  </w:num>
  <w:num w:numId="9" w16cid:durableId="23753716">
    <w:abstractNumId w:val="21"/>
  </w:num>
  <w:num w:numId="10" w16cid:durableId="1726682114">
    <w:abstractNumId w:val="19"/>
  </w:num>
  <w:num w:numId="11" w16cid:durableId="415515707">
    <w:abstractNumId w:val="9"/>
  </w:num>
  <w:num w:numId="12" w16cid:durableId="1101727978">
    <w:abstractNumId w:val="6"/>
  </w:num>
  <w:num w:numId="13" w16cid:durableId="1844976080">
    <w:abstractNumId w:val="12"/>
  </w:num>
  <w:num w:numId="14" w16cid:durableId="522718013">
    <w:abstractNumId w:val="1"/>
  </w:num>
  <w:num w:numId="15" w16cid:durableId="516700959">
    <w:abstractNumId w:val="2"/>
  </w:num>
  <w:num w:numId="16" w16cid:durableId="474957207">
    <w:abstractNumId w:val="0"/>
  </w:num>
  <w:num w:numId="17" w16cid:durableId="167402845">
    <w:abstractNumId w:val="15"/>
  </w:num>
  <w:num w:numId="18" w16cid:durableId="808128998">
    <w:abstractNumId w:val="3"/>
  </w:num>
  <w:num w:numId="19" w16cid:durableId="1035228097">
    <w:abstractNumId w:val="5"/>
  </w:num>
  <w:num w:numId="20" w16cid:durableId="1998655716">
    <w:abstractNumId w:val="10"/>
  </w:num>
  <w:num w:numId="21" w16cid:durableId="857158568">
    <w:abstractNumId w:val="14"/>
  </w:num>
  <w:num w:numId="22" w16cid:durableId="107313413">
    <w:abstractNumId w:val="17"/>
  </w:num>
  <w:num w:numId="23" w16cid:durableId="633680075">
    <w:abstractNumId w:val="4"/>
  </w:num>
  <w:num w:numId="24" w16cid:durableId="395737882">
    <w:abstractNumId w:val="7"/>
  </w:num>
  <w:num w:numId="25" w16cid:durableId="170586438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7944"/>
    <w:rsid w:val="00001238"/>
    <w:rsid w:val="00001403"/>
    <w:rsid w:val="000029A2"/>
    <w:rsid w:val="00002C36"/>
    <w:rsid w:val="00005285"/>
    <w:rsid w:val="00006C9E"/>
    <w:rsid w:val="000077B8"/>
    <w:rsid w:val="00007F24"/>
    <w:rsid w:val="000102A8"/>
    <w:rsid w:val="00012061"/>
    <w:rsid w:val="000120EE"/>
    <w:rsid w:val="00012461"/>
    <w:rsid w:val="0001289A"/>
    <w:rsid w:val="00012A11"/>
    <w:rsid w:val="00012C36"/>
    <w:rsid w:val="00016EBE"/>
    <w:rsid w:val="00022792"/>
    <w:rsid w:val="00023F4E"/>
    <w:rsid w:val="000244FA"/>
    <w:rsid w:val="000262A8"/>
    <w:rsid w:val="000273CF"/>
    <w:rsid w:val="000276D1"/>
    <w:rsid w:val="0002774B"/>
    <w:rsid w:val="00027C2D"/>
    <w:rsid w:val="00031DB8"/>
    <w:rsid w:val="00032E5A"/>
    <w:rsid w:val="00033EDB"/>
    <w:rsid w:val="000343A9"/>
    <w:rsid w:val="00034508"/>
    <w:rsid w:val="00035541"/>
    <w:rsid w:val="000358AC"/>
    <w:rsid w:val="00035D2A"/>
    <w:rsid w:val="00035EFB"/>
    <w:rsid w:val="000363F3"/>
    <w:rsid w:val="000369E8"/>
    <w:rsid w:val="00041426"/>
    <w:rsid w:val="00041C33"/>
    <w:rsid w:val="00041F39"/>
    <w:rsid w:val="00042897"/>
    <w:rsid w:val="00042B8C"/>
    <w:rsid w:val="00043438"/>
    <w:rsid w:val="00043439"/>
    <w:rsid w:val="0004536D"/>
    <w:rsid w:val="00047E4A"/>
    <w:rsid w:val="00050213"/>
    <w:rsid w:val="000537DF"/>
    <w:rsid w:val="000545D4"/>
    <w:rsid w:val="00054AE5"/>
    <w:rsid w:val="00054F53"/>
    <w:rsid w:val="00055270"/>
    <w:rsid w:val="00055517"/>
    <w:rsid w:val="00055927"/>
    <w:rsid w:val="00055F25"/>
    <w:rsid w:val="000627CC"/>
    <w:rsid w:val="00063553"/>
    <w:rsid w:val="00063928"/>
    <w:rsid w:val="00064008"/>
    <w:rsid w:val="00065484"/>
    <w:rsid w:val="00065C9B"/>
    <w:rsid w:val="00066BE2"/>
    <w:rsid w:val="000673B3"/>
    <w:rsid w:val="00067CA5"/>
    <w:rsid w:val="00067D3A"/>
    <w:rsid w:val="000707A4"/>
    <w:rsid w:val="00071161"/>
    <w:rsid w:val="00072176"/>
    <w:rsid w:val="000731CE"/>
    <w:rsid w:val="000738E2"/>
    <w:rsid w:val="000742B3"/>
    <w:rsid w:val="00074E68"/>
    <w:rsid w:val="000764D3"/>
    <w:rsid w:val="000767A6"/>
    <w:rsid w:val="00077F12"/>
    <w:rsid w:val="000822F7"/>
    <w:rsid w:val="00083190"/>
    <w:rsid w:val="00083913"/>
    <w:rsid w:val="000853C5"/>
    <w:rsid w:val="000857B4"/>
    <w:rsid w:val="000858B2"/>
    <w:rsid w:val="000860A5"/>
    <w:rsid w:val="00086119"/>
    <w:rsid w:val="000902D6"/>
    <w:rsid w:val="00090C4B"/>
    <w:rsid w:val="00091F10"/>
    <w:rsid w:val="00091FF7"/>
    <w:rsid w:val="000940D8"/>
    <w:rsid w:val="00094386"/>
    <w:rsid w:val="0009478F"/>
    <w:rsid w:val="00094C92"/>
    <w:rsid w:val="00096697"/>
    <w:rsid w:val="000A110F"/>
    <w:rsid w:val="000A1A6D"/>
    <w:rsid w:val="000A200E"/>
    <w:rsid w:val="000A4917"/>
    <w:rsid w:val="000A4920"/>
    <w:rsid w:val="000A4DEB"/>
    <w:rsid w:val="000A4EAF"/>
    <w:rsid w:val="000A5028"/>
    <w:rsid w:val="000A741B"/>
    <w:rsid w:val="000A76E6"/>
    <w:rsid w:val="000B183C"/>
    <w:rsid w:val="000B3E5D"/>
    <w:rsid w:val="000B4769"/>
    <w:rsid w:val="000B5E4F"/>
    <w:rsid w:val="000C0A6E"/>
    <w:rsid w:val="000C10D4"/>
    <w:rsid w:val="000C1A57"/>
    <w:rsid w:val="000C272B"/>
    <w:rsid w:val="000C2EDF"/>
    <w:rsid w:val="000C38DA"/>
    <w:rsid w:val="000C40CB"/>
    <w:rsid w:val="000C4E86"/>
    <w:rsid w:val="000C5C92"/>
    <w:rsid w:val="000C6687"/>
    <w:rsid w:val="000C6983"/>
    <w:rsid w:val="000C7609"/>
    <w:rsid w:val="000D1463"/>
    <w:rsid w:val="000D16AB"/>
    <w:rsid w:val="000D190D"/>
    <w:rsid w:val="000D3894"/>
    <w:rsid w:val="000D3D3F"/>
    <w:rsid w:val="000D4E6A"/>
    <w:rsid w:val="000D66D2"/>
    <w:rsid w:val="000D70A5"/>
    <w:rsid w:val="000D7B3E"/>
    <w:rsid w:val="000E0B6C"/>
    <w:rsid w:val="000E0EA3"/>
    <w:rsid w:val="000E2EB5"/>
    <w:rsid w:val="000E40EA"/>
    <w:rsid w:val="000E4F39"/>
    <w:rsid w:val="000E569A"/>
    <w:rsid w:val="000E638B"/>
    <w:rsid w:val="000E777F"/>
    <w:rsid w:val="000E7C0F"/>
    <w:rsid w:val="000F0055"/>
    <w:rsid w:val="000F02C9"/>
    <w:rsid w:val="000F0439"/>
    <w:rsid w:val="000F065D"/>
    <w:rsid w:val="000F11DF"/>
    <w:rsid w:val="000F1234"/>
    <w:rsid w:val="000F3445"/>
    <w:rsid w:val="000F4613"/>
    <w:rsid w:val="000F4A2D"/>
    <w:rsid w:val="000F5117"/>
    <w:rsid w:val="000F528D"/>
    <w:rsid w:val="000F69AE"/>
    <w:rsid w:val="000F7254"/>
    <w:rsid w:val="00101CBA"/>
    <w:rsid w:val="00101FE4"/>
    <w:rsid w:val="00102EDD"/>
    <w:rsid w:val="00102FAC"/>
    <w:rsid w:val="00103751"/>
    <w:rsid w:val="00103E33"/>
    <w:rsid w:val="00104D2E"/>
    <w:rsid w:val="00106742"/>
    <w:rsid w:val="00107E71"/>
    <w:rsid w:val="001121FE"/>
    <w:rsid w:val="00112F7D"/>
    <w:rsid w:val="001133CB"/>
    <w:rsid w:val="001141B0"/>
    <w:rsid w:val="00114520"/>
    <w:rsid w:val="001156A2"/>
    <w:rsid w:val="00116525"/>
    <w:rsid w:val="00117CEC"/>
    <w:rsid w:val="00120430"/>
    <w:rsid w:val="00120E93"/>
    <w:rsid w:val="001212C5"/>
    <w:rsid w:val="00121706"/>
    <w:rsid w:val="00121D46"/>
    <w:rsid w:val="0012210D"/>
    <w:rsid w:val="0012312C"/>
    <w:rsid w:val="001239AF"/>
    <w:rsid w:val="00123B97"/>
    <w:rsid w:val="001255C3"/>
    <w:rsid w:val="00125A0E"/>
    <w:rsid w:val="001260AB"/>
    <w:rsid w:val="0012699B"/>
    <w:rsid w:val="00126E6D"/>
    <w:rsid w:val="001304EA"/>
    <w:rsid w:val="0013121B"/>
    <w:rsid w:val="00131929"/>
    <w:rsid w:val="001327FB"/>
    <w:rsid w:val="001340EC"/>
    <w:rsid w:val="0013416E"/>
    <w:rsid w:val="00134F54"/>
    <w:rsid w:val="00135C07"/>
    <w:rsid w:val="0014002D"/>
    <w:rsid w:val="001405C2"/>
    <w:rsid w:val="0014073B"/>
    <w:rsid w:val="00140E62"/>
    <w:rsid w:val="001415CD"/>
    <w:rsid w:val="00141A3E"/>
    <w:rsid w:val="00141DF5"/>
    <w:rsid w:val="00142158"/>
    <w:rsid w:val="0014217D"/>
    <w:rsid w:val="0014238E"/>
    <w:rsid w:val="00142F2A"/>
    <w:rsid w:val="001443DB"/>
    <w:rsid w:val="00146187"/>
    <w:rsid w:val="00146236"/>
    <w:rsid w:val="00146DE3"/>
    <w:rsid w:val="00151C35"/>
    <w:rsid w:val="0015284F"/>
    <w:rsid w:val="00153EAB"/>
    <w:rsid w:val="0015606E"/>
    <w:rsid w:val="001608EC"/>
    <w:rsid w:val="0016308F"/>
    <w:rsid w:val="0016339F"/>
    <w:rsid w:val="001634BD"/>
    <w:rsid w:val="00163961"/>
    <w:rsid w:val="0016523B"/>
    <w:rsid w:val="00166821"/>
    <w:rsid w:val="00166D1F"/>
    <w:rsid w:val="0016747A"/>
    <w:rsid w:val="001679D7"/>
    <w:rsid w:val="00170ACE"/>
    <w:rsid w:val="0017149E"/>
    <w:rsid w:val="00171BC5"/>
    <w:rsid w:val="0017201E"/>
    <w:rsid w:val="00172108"/>
    <w:rsid w:val="001725FA"/>
    <w:rsid w:val="00173228"/>
    <w:rsid w:val="00173AA1"/>
    <w:rsid w:val="001742F2"/>
    <w:rsid w:val="001759D3"/>
    <w:rsid w:val="00175A26"/>
    <w:rsid w:val="00176171"/>
    <w:rsid w:val="001765B9"/>
    <w:rsid w:val="001768D2"/>
    <w:rsid w:val="00177BED"/>
    <w:rsid w:val="00180B84"/>
    <w:rsid w:val="00180B8A"/>
    <w:rsid w:val="00180C52"/>
    <w:rsid w:val="00182BF3"/>
    <w:rsid w:val="00183678"/>
    <w:rsid w:val="00183AE9"/>
    <w:rsid w:val="00184822"/>
    <w:rsid w:val="00184E45"/>
    <w:rsid w:val="001852C6"/>
    <w:rsid w:val="00186000"/>
    <w:rsid w:val="00186186"/>
    <w:rsid w:val="00186809"/>
    <w:rsid w:val="00186D5A"/>
    <w:rsid w:val="001902D4"/>
    <w:rsid w:val="001907B7"/>
    <w:rsid w:val="00192051"/>
    <w:rsid w:val="001926A2"/>
    <w:rsid w:val="001938AE"/>
    <w:rsid w:val="00196272"/>
    <w:rsid w:val="00196689"/>
    <w:rsid w:val="00197DFB"/>
    <w:rsid w:val="00197F9A"/>
    <w:rsid w:val="001A0CF3"/>
    <w:rsid w:val="001A1AE4"/>
    <w:rsid w:val="001A28E9"/>
    <w:rsid w:val="001A396A"/>
    <w:rsid w:val="001A7FB3"/>
    <w:rsid w:val="001B1D18"/>
    <w:rsid w:val="001B21E3"/>
    <w:rsid w:val="001B343B"/>
    <w:rsid w:val="001B5349"/>
    <w:rsid w:val="001B6517"/>
    <w:rsid w:val="001B70FE"/>
    <w:rsid w:val="001B71F0"/>
    <w:rsid w:val="001C326F"/>
    <w:rsid w:val="001C61BA"/>
    <w:rsid w:val="001C6448"/>
    <w:rsid w:val="001C67F4"/>
    <w:rsid w:val="001C6879"/>
    <w:rsid w:val="001D3AF2"/>
    <w:rsid w:val="001D5144"/>
    <w:rsid w:val="001D5EA3"/>
    <w:rsid w:val="001D65AC"/>
    <w:rsid w:val="001D703C"/>
    <w:rsid w:val="001E01FB"/>
    <w:rsid w:val="001E1DCD"/>
    <w:rsid w:val="001E1EE4"/>
    <w:rsid w:val="001E38D7"/>
    <w:rsid w:val="001E5187"/>
    <w:rsid w:val="001E5324"/>
    <w:rsid w:val="001E653C"/>
    <w:rsid w:val="001E770D"/>
    <w:rsid w:val="001E777D"/>
    <w:rsid w:val="001F14A6"/>
    <w:rsid w:val="001F1B14"/>
    <w:rsid w:val="001F2A6C"/>
    <w:rsid w:val="001F31AF"/>
    <w:rsid w:val="001F6186"/>
    <w:rsid w:val="001F72AB"/>
    <w:rsid w:val="001F7FA3"/>
    <w:rsid w:val="00201255"/>
    <w:rsid w:val="00201B1C"/>
    <w:rsid w:val="002025C4"/>
    <w:rsid w:val="002026C2"/>
    <w:rsid w:val="00202918"/>
    <w:rsid w:val="00202B95"/>
    <w:rsid w:val="00202BFA"/>
    <w:rsid w:val="002039BB"/>
    <w:rsid w:val="00204447"/>
    <w:rsid w:val="00205B49"/>
    <w:rsid w:val="00206620"/>
    <w:rsid w:val="0020684D"/>
    <w:rsid w:val="002100B7"/>
    <w:rsid w:val="00212634"/>
    <w:rsid w:val="002127E2"/>
    <w:rsid w:val="00212DD2"/>
    <w:rsid w:val="0021366B"/>
    <w:rsid w:val="00213AEF"/>
    <w:rsid w:val="00213CCF"/>
    <w:rsid w:val="00215503"/>
    <w:rsid w:val="00217EF8"/>
    <w:rsid w:val="00221C75"/>
    <w:rsid w:val="00222039"/>
    <w:rsid w:val="002241A2"/>
    <w:rsid w:val="00224CD8"/>
    <w:rsid w:val="00224E31"/>
    <w:rsid w:val="00224F2F"/>
    <w:rsid w:val="00225459"/>
    <w:rsid w:val="0022567F"/>
    <w:rsid w:val="002316B5"/>
    <w:rsid w:val="00232F0D"/>
    <w:rsid w:val="00232F6B"/>
    <w:rsid w:val="0023385E"/>
    <w:rsid w:val="00233DD1"/>
    <w:rsid w:val="00234697"/>
    <w:rsid w:val="00234820"/>
    <w:rsid w:val="00236AA5"/>
    <w:rsid w:val="002376FB"/>
    <w:rsid w:val="00240AE0"/>
    <w:rsid w:val="0024294B"/>
    <w:rsid w:val="00245FF6"/>
    <w:rsid w:val="0024771C"/>
    <w:rsid w:val="0025135A"/>
    <w:rsid w:val="0025149F"/>
    <w:rsid w:val="00251743"/>
    <w:rsid w:val="00251D0D"/>
    <w:rsid w:val="00253D52"/>
    <w:rsid w:val="002542BE"/>
    <w:rsid w:val="002561A3"/>
    <w:rsid w:val="00261D97"/>
    <w:rsid w:val="00261F23"/>
    <w:rsid w:val="002665A1"/>
    <w:rsid w:val="0027056D"/>
    <w:rsid w:val="002716B4"/>
    <w:rsid w:val="00273EC6"/>
    <w:rsid w:val="0027556B"/>
    <w:rsid w:val="002764ED"/>
    <w:rsid w:val="002765E2"/>
    <w:rsid w:val="00276B50"/>
    <w:rsid w:val="00277099"/>
    <w:rsid w:val="0027743E"/>
    <w:rsid w:val="002774B4"/>
    <w:rsid w:val="00277C83"/>
    <w:rsid w:val="002805FA"/>
    <w:rsid w:val="00282079"/>
    <w:rsid w:val="00282917"/>
    <w:rsid w:val="002834CE"/>
    <w:rsid w:val="00283A21"/>
    <w:rsid w:val="002841E8"/>
    <w:rsid w:val="00284F58"/>
    <w:rsid w:val="002850B6"/>
    <w:rsid w:val="00287B0D"/>
    <w:rsid w:val="00287BB1"/>
    <w:rsid w:val="002908FF"/>
    <w:rsid w:val="00290CA3"/>
    <w:rsid w:val="00290D2E"/>
    <w:rsid w:val="00293717"/>
    <w:rsid w:val="002961B7"/>
    <w:rsid w:val="00296C28"/>
    <w:rsid w:val="00296EF8"/>
    <w:rsid w:val="002A1D02"/>
    <w:rsid w:val="002A3061"/>
    <w:rsid w:val="002A35D7"/>
    <w:rsid w:val="002A471C"/>
    <w:rsid w:val="002A58AE"/>
    <w:rsid w:val="002A5F2A"/>
    <w:rsid w:val="002A6F15"/>
    <w:rsid w:val="002A7233"/>
    <w:rsid w:val="002A7653"/>
    <w:rsid w:val="002B0B7F"/>
    <w:rsid w:val="002B16D6"/>
    <w:rsid w:val="002B6A52"/>
    <w:rsid w:val="002B70FD"/>
    <w:rsid w:val="002B71B0"/>
    <w:rsid w:val="002C06B9"/>
    <w:rsid w:val="002C086C"/>
    <w:rsid w:val="002C1E2A"/>
    <w:rsid w:val="002C2B4F"/>
    <w:rsid w:val="002C2C11"/>
    <w:rsid w:val="002C4B87"/>
    <w:rsid w:val="002C4C0D"/>
    <w:rsid w:val="002C4C79"/>
    <w:rsid w:val="002C4CE1"/>
    <w:rsid w:val="002C4EE9"/>
    <w:rsid w:val="002C500E"/>
    <w:rsid w:val="002C5856"/>
    <w:rsid w:val="002C5983"/>
    <w:rsid w:val="002D06DB"/>
    <w:rsid w:val="002D0CFF"/>
    <w:rsid w:val="002D386D"/>
    <w:rsid w:val="002D3885"/>
    <w:rsid w:val="002D40A2"/>
    <w:rsid w:val="002D52B6"/>
    <w:rsid w:val="002D6240"/>
    <w:rsid w:val="002D63B9"/>
    <w:rsid w:val="002E1989"/>
    <w:rsid w:val="002E303F"/>
    <w:rsid w:val="002E356C"/>
    <w:rsid w:val="002E5F96"/>
    <w:rsid w:val="002E6EF3"/>
    <w:rsid w:val="002F01C0"/>
    <w:rsid w:val="002F0559"/>
    <w:rsid w:val="002F2431"/>
    <w:rsid w:val="002F277C"/>
    <w:rsid w:val="002F2C07"/>
    <w:rsid w:val="002F2DBC"/>
    <w:rsid w:val="002F2FD3"/>
    <w:rsid w:val="002F56B0"/>
    <w:rsid w:val="002F573E"/>
    <w:rsid w:val="002F5814"/>
    <w:rsid w:val="00301547"/>
    <w:rsid w:val="003033C5"/>
    <w:rsid w:val="00304278"/>
    <w:rsid w:val="00304349"/>
    <w:rsid w:val="00305221"/>
    <w:rsid w:val="0030629B"/>
    <w:rsid w:val="003067A5"/>
    <w:rsid w:val="00306BAF"/>
    <w:rsid w:val="0030720B"/>
    <w:rsid w:val="003101E4"/>
    <w:rsid w:val="003115D6"/>
    <w:rsid w:val="0031195E"/>
    <w:rsid w:val="00312F93"/>
    <w:rsid w:val="00313A5C"/>
    <w:rsid w:val="00313EBF"/>
    <w:rsid w:val="003147F7"/>
    <w:rsid w:val="0031580A"/>
    <w:rsid w:val="003160B5"/>
    <w:rsid w:val="003160B8"/>
    <w:rsid w:val="00317DA5"/>
    <w:rsid w:val="00317E8A"/>
    <w:rsid w:val="00317F3F"/>
    <w:rsid w:val="003206B9"/>
    <w:rsid w:val="00321F78"/>
    <w:rsid w:val="003223B8"/>
    <w:rsid w:val="003238A3"/>
    <w:rsid w:val="0032569B"/>
    <w:rsid w:val="00327D34"/>
    <w:rsid w:val="00330DC3"/>
    <w:rsid w:val="00330ED9"/>
    <w:rsid w:val="0033245B"/>
    <w:rsid w:val="003324D9"/>
    <w:rsid w:val="00334AB1"/>
    <w:rsid w:val="0033520C"/>
    <w:rsid w:val="00335EC5"/>
    <w:rsid w:val="0033759C"/>
    <w:rsid w:val="00337720"/>
    <w:rsid w:val="00337BE9"/>
    <w:rsid w:val="00340220"/>
    <w:rsid w:val="0034216B"/>
    <w:rsid w:val="00342F75"/>
    <w:rsid w:val="00343E5C"/>
    <w:rsid w:val="00344075"/>
    <w:rsid w:val="003448BF"/>
    <w:rsid w:val="00345056"/>
    <w:rsid w:val="00345817"/>
    <w:rsid w:val="00345B0D"/>
    <w:rsid w:val="00350C9B"/>
    <w:rsid w:val="0035112A"/>
    <w:rsid w:val="00351DC1"/>
    <w:rsid w:val="00352721"/>
    <w:rsid w:val="00352D1F"/>
    <w:rsid w:val="00352E21"/>
    <w:rsid w:val="00354C33"/>
    <w:rsid w:val="00354DDC"/>
    <w:rsid w:val="003552C8"/>
    <w:rsid w:val="00355CA4"/>
    <w:rsid w:val="00356809"/>
    <w:rsid w:val="00356BEA"/>
    <w:rsid w:val="003574AC"/>
    <w:rsid w:val="00357DAF"/>
    <w:rsid w:val="00361048"/>
    <w:rsid w:val="00361ADE"/>
    <w:rsid w:val="0036216B"/>
    <w:rsid w:val="00362794"/>
    <w:rsid w:val="00363D91"/>
    <w:rsid w:val="00365B71"/>
    <w:rsid w:val="00371B1B"/>
    <w:rsid w:val="003737C1"/>
    <w:rsid w:val="00373B57"/>
    <w:rsid w:val="00375164"/>
    <w:rsid w:val="00375171"/>
    <w:rsid w:val="00376641"/>
    <w:rsid w:val="003770A4"/>
    <w:rsid w:val="0037743D"/>
    <w:rsid w:val="00380F7F"/>
    <w:rsid w:val="003815C8"/>
    <w:rsid w:val="00381DB8"/>
    <w:rsid w:val="00382DCE"/>
    <w:rsid w:val="00382ED5"/>
    <w:rsid w:val="00384B36"/>
    <w:rsid w:val="00384EF7"/>
    <w:rsid w:val="00387099"/>
    <w:rsid w:val="00387417"/>
    <w:rsid w:val="003876EC"/>
    <w:rsid w:val="0039064B"/>
    <w:rsid w:val="00390ACD"/>
    <w:rsid w:val="00392812"/>
    <w:rsid w:val="00394072"/>
    <w:rsid w:val="00394913"/>
    <w:rsid w:val="003971F9"/>
    <w:rsid w:val="003975FB"/>
    <w:rsid w:val="003A0EA1"/>
    <w:rsid w:val="003A200D"/>
    <w:rsid w:val="003A28D1"/>
    <w:rsid w:val="003A5FD5"/>
    <w:rsid w:val="003A7150"/>
    <w:rsid w:val="003B187F"/>
    <w:rsid w:val="003B1B3D"/>
    <w:rsid w:val="003B1D22"/>
    <w:rsid w:val="003B1F93"/>
    <w:rsid w:val="003B24FA"/>
    <w:rsid w:val="003B2D31"/>
    <w:rsid w:val="003B3A73"/>
    <w:rsid w:val="003B3E6E"/>
    <w:rsid w:val="003B4227"/>
    <w:rsid w:val="003B6137"/>
    <w:rsid w:val="003B6379"/>
    <w:rsid w:val="003B6479"/>
    <w:rsid w:val="003C02D4"/>
    <w:rsid w:val="003C198C"/>
    <w:rsid w:val="003C1AD2"/>
    <w:rsid w:val="003C62A3"/>
    <w:rsid w:val="003C6817"/>
    <w:rsid w:val="003C7188"/>
    <w:rsid w:val="003C7700"/>
    <w:rsid w:val="003C7C12"/>
    <w:rsid w:val="003D1B81"/>
    <w:rsid w:val="003D1B8C"/>
    <w:rsid w:val="003D2B5F"/>
    <w:rsid w:val="003D3BDD"/>
    <w:rsid w:val="003D7846"/>
    <w:rsid w:val="003E0076"/>
    <w:rsid w:val="003E3E1F"/>
    <w:rsid w:val="003E653A"/>
    <w:rsid w:val="003E6746"/>
    <w:rsid w:val="003F0242"/>
    <w:rsid w:val="003F0A0B"/>
    <w:rsid w:val="003F0C03"/>
    <w:rsid w:val="003F1E47"/>
    <w:rsid w:val="003F2165"/>
    <w:rsid w:val="003F297B"/>
    <w:rsid w:val="003F6F96"/>
    <w:rsid w:val="004000B7"/>
    <w:rsid w:val="004006AB"/>
    <w:rsid w:val="00400970"/>
    <w:rsid w:val="00401A75"/>
    <w:rsid w:val="00402269"/>
    <w:rsid w:val="004023F2"/>
    <w:rsid w:val="00402BD0"/>
    <w:rsid w:val="00403D28"/>
    <w:rsid w:val="00405BC2"/>
    <w:rsid w:val="00407FA5"/>
    <w:rsid w:val="00410332"/>
    <w:rsid w:val="00411D11"/>
    <w:rsid w:val="00411D6B"/>
    <w:rsid w:val="00413E6D"/>
    <w:rsid w:val="0041464F"/>
    <w:rsid w:val="004149C6"/>
    <w:rsid w:val="00415071"/>
    <w:rsid w:val="004156AB"/>
    <w:rsid w:val="00417468"/>
    <w:rsid w:val="0042244F"/>
    <w:rsid w:val="00424299"/>
    <w:rsid w:val="0042540F"/>
    <w:rsid w:val="00426811"/>
    <w:rsid w:val="00426C8C"/>
    <w:rsid w:val="0042748B"/>
    <w:rsid w:val="00427A49"/>
    <w:rsid w:val="004327DC"/>
    <w:rsid w:val="0043494D"/>
    <w:rsid w:val="0043620A"/>
    <w:rsid w:val="00436FB0"/>
    <w:rsid w:val="0043726C"/>
    <w:rsid w:val="004377FB"/>
    <w:rsid w:val="00437AE2"/>
    <w:rsid w:val="00441495"/>
    <w:rsid w:val="00441718"/>
    <w:rsid w:val="004418ED"/>
    <w:rsid w:val="00441AAC"/>
    <w:rsid w:val="00441F6B"/>
    <w:rsid w:val="00442196"/>
    <w:rsid w:val="00442505"/>
    <w:rsid w:val="0044319D"/>
    <w:rsid w:val="00443A27"/>
    <w:rsid w:val="00444672"/>
    <w:rsid w:val="00445252"/>
    <w:rsid w:val="004453F7"/>
    <w:rsid w:val="00450293"/>
    <w:rsid w:val="00451196"/>
    <w:rsid w:val="00451443"/>
    <w:rsid w:val="00455B60"/>
    <w:rsid w:val="00455F5C"/>
    <w:rsid w:val="00456587"/>
    <w:rsid w:val="00456D26"/>
    <w:rsid w:val="004611F5"/>
    <w:rsid w:val="00461723"/>
    <w:rsid w:val="00462BE6"/>
    <w:rsid w:val="0046400C"/>
    <w:rsid w:val="004642BE"/>
    <w:rsid w:val="00464D6F"/>
    <w:rsid w:val="004659DF"/>
    <w:rsid w:val="004673B3"/>
    <w:rsid w:val="0046752D"/>
    <w:rsid w:val="00467D8A"/>
    <w:rsid w:val="00470249"/>
    <w:rsid w:val="00471454"/>
    <w:rsid w:val="00471609"/>
    <w:rsid w:val="00472CA2"/>
    <w:rsid w:val="00472CB8"/>
    <w:rsid w:val="00473126"/>
    <w:rsid w:val="00473314"/>
    <w:rsid w:val="0047385C"/>
    <w:rsid w:val="00474C91"/>
    <w:rsid w:val="00476B57"/>
    <w:rsid w:val="004808A5"/>
    <w:rsid w:val="0048100F"/>
    <w:rsid w:val="00481ADB"/>
    <w:rsid w:val="00481E06"/>
    <w:rsid w:val="00483A43"/>
    <w:rsid w:val="004846E8"/>
    <w:rsid w:val="00486422"/>
    <w:rsid w:val="00490F76"/>
    <w:rsid w:val="00492B8A"/>
    <w:rsid w:val="00492D26"/>
    <w:rsid w:val="0049598A"/>
    <w:rsid w:val="004A09A7"/>
    <w:rsid w:val="004A0D5C"/>
    <w:rsid w:val="004A1FCF"/>
    <w:rsid w:val="004A2103"/>
    <w:rsid w:val="004A29DD"/>
    <w:rsid w:val="004A3890"/>
    <w:rsid w:val="004A4AEE"/>
    <w:rsid w:val="004A4B48"/>
    <w:rsid w:val="004A4C3A"/>
    <w:rsid w:val="004A51B6"/>
    <w:rsid w:val="004A6FC4"/>
    <w:rsid w:val="004B2A7E"/>
    <w:rsid w:val="004B34A3"/>
    <w:rsid w:val="004B4E38"/>
    <w:rsid w:val="004B6722"/>
    <w:rsid w:val="004B7154"/>
    <w:rsid w:val="004B7B0B"/>
    <w:rsid w:val="004C1531"/>
    <w:rsid w:val="004C341D"/>
    <w:rsid w:val="004C3961"/>
    <w:rsid w:val="004C3F72"/>
    <w:rsid w:val="004C4935"/>
    <w:rsid w:val="004C50D8"/>
    <w:rsid w:val="004C5ED4"/>
    <w:rsid w:val="004C61FD"/>
    <w:rsid w:val="004C6890"/>
    <w:rsid w:val="004C742B"/>
    <w:rsid w:val="004C775E"/>
    <w:rsid w:val="004C78BE"/>
    <w:rsid w:val="004D1B30"/>
    <w:rsid w:val="004D3DF0"/>
    <w:rsid w:val="004D44A4"/>
    <w:rsid w:val="004D4992"/>
    <w:rsid w:val="004D50CD"/>
    <w:rsid w:val="004D5A75"/>
    <w:rsid w:val="004D5CB2"/>
    <w:rsid w:val="004D68C8"/>
    <w:rsid w:val="004D6F79"/>
    <w:rsid w:val="004D7228"/>
    <w:rsid w:val="004D7275"/>
    <w:rsid w:val="004D7BAD"/>
    <w:rsid w:val="004D7EC0"/>
    <w:rsid w:val="004E17ED"/>
    <w:rsid w:val="004E21A5"/>
    <w:rsid w:val="004E3757"/>
    <w:rsid w:val="004E3F72"/>
    <w:rsid w:val="004E6783"/>
    <w:rsid w:val="004E7158"/>
    <w:rsid w:val="004E780B"/>
    <w:rsid w:val="004E7A32"/>
    <w:rsid w:val="004E7D4F"/>
    <w:rsid w:val="004F01A3"/>
    <w:rsid w:val="004F176E"/>
    <w:rsid w:val="004F20C6"/>
    <w:rsid w:val="004F2BB7"/>
    <w:rsid w:val="004F2F31"/>
    <w:rsid w:val="004F558D"/>
    <w:rsid w:val="004F55BB"/>
    <w:rsid w:val="004F718B"/>
    <w:rsid w:val="004F7908"/>
    <w:rsid w:val="0050186D"/>
    <w:rsid w:val="005037A4"/>
    <w:rsid w:val="00503864"/>
    <w:rsid w:val="00504C0C"/>
    <w:rsid w:val="00506041"/>
    <w:rsid w:val="00506716"/>
    <w:rsid w:val="00506F62"/>
    <w:rsid w:val="00507BE3"/>
    <w:rsid w:val="00510117"/>
    <w:rsid w:val="00510C9B"/>
    <w:rsid w:val="0051124A"/>
    <w:rsid w:val="00511564"/>
    <w:rsid w:val="00511794"/>
    <w:rsid w:val="0051356E"/>
    <w:rsid w:val="0051557C"/>
    <w:rsid w:val="005179C6"/>
    <w:rsid w:val="00517BEC"/>
    <w:rsid w:val="005223D6"/>
    <w:rsid w:val="005227B5"/>
    <w:rsid w:val="00523939"/>
    <w:rsid w:val="00524543"/>
    <w:rsid w:val="0052596B"/>
    <w:rsid w:val="0052668F"/>
    <w:rsid w:val="00526726"/>
    <w:rsid w:val="00526C17"/>
    <w:rsid w:val="005272F4"/>
    <w:rsid w:val="00527825"/>
    <w:rsid w:val="00527ADA"/>
    <w:rsid w:val="00530196"/>
    <w:rsid w:val="00530F96"/>
    <w:rsid w:val="00531578"/>
    <w:rsid w:val="00533443"/>
    <w:rsid w:val="0053378F"/>
    <w:rsid w:val="00533B9C"/>
    <w:rsid w:val="00535366"/>
    <w:rsid w:val="005361DC"/>
    <w:rsid w:val="00536E15"/>
    <w:rsid w:val="00537FAD"/>
    <w:rsid w:val="0054021E"/>
    <w:rsid w:val="0054233B"/>
    <w:rsid w:val="005462D0"/>
    <w:rsid w:val="005467AE"/>
    <w:rsid w:val="00546AC4"/>
    <w:rsid w:val="00547BCE"/>
    <w:rsid w:val="00547F42"/>
    <w:rsid w:val="00552A10"/>
    <w:rsid w:val="00552C68"/>
    <w:rsid w:val="00553B43"/>
    <w:rsid w:val="00553FB8"/>
    <w:rsid w:val="00554189"/>
    <w:rsid w:val="0055746B"/>
    <w:rsid w:val="0056188E"/>
    <w:rsid w:val="00562DE3"/>
    <w:rsid w:val="005634EC"/>
    <w:rsid w:val="005646DE"/>
    <w:rsid w:val="00564E7E"/>
    <w:rsid w:val="00565714"/>
    <w:rsid w:val="005658E4"/>
    <w:rsid w:val="0056616E"/>
    <w:rsid w:val="00567282"/>
    <w:rsid w:val="00570CF8"/>
    <w:rsid w:val="0057228A"/>
    <w:rsid w:val="00573992"/>
    <w:rsid w:val="00574427"/>
    <w:rsid w:val="00574AF6"/>
    <w:rsid w:val="00574D1B"/>
    <w:rsid w:val="005779BE"/>
    <w:rsid w:val="00577F66"/>
    <w:rsid w:val="00581DAC"/>
    <w:rsid w:val="00583A98"/>
    <w:rsid w:val="00583EAB"/>
    <w:rsid w:val="005862BF"/>
    <w:rsid w:val="00586C48"/>
    <w:rsid w:val="00587B6C"/>
    <w:rsid w:val="005900BF"/>
    <w:rsid w:val="00592049"/>
    <w:rsid w:val="00592D51"/>
    <w:rsid w:val="00592FD9"/>
    <w:rsid w:val="00593888"/>
    <w:rsid w:val="00594D8A"/>
    <w:rsid w:val="00597412"/>
    <w:rsid w:val="005A177A"/>
    <w:rsid w:val="005A2CEE"/>
    <w:rsid w:val="005A3076"/>
    <w:rsid w:val="005A3DEA"/>
    <w:rsid w:val="005A4283"/>
    <w:rsid w:val="005A4785"/>
    <w:rsid w:val="005A5A5B"/>
    <w:rsid w:val="005A5BB4"/>
    <w:rsid w:val="005A69EB"/>
    <w:rsid w:val="005B0317"/>
    <w:rsid w:val="005B2F95"/>
    <w:rsid w:val="005B3266"/>
    <w:rsid w:val="005B3BE8"/>
    <w:rsid w:val="005B47E8"/>
    <w:rsid w:val="005B5A33"/>
    <w:rsid w:val="005B7CA1"/>
    <w:rsid w:val="005C0030"/>
    <w:rsid w:val="005C0208"/>
    <w:rsid w:val="005C1464"/>
    <w:rsid w:val="005C20D9"/>
    <w:rsid w:val="005C3584"/>
    <w:rsid w:val="005C3BBB"/>
    <w:rsid w:val="005C4161"/>
    <w:rsid w:val="005C519B"/>
    <w:rsid w:val="005C5653"/>
    <w:rsid w:val="005C60B0"/>
    <w:rsid w:val="005C663F"/>
    <w:rsid w:val="005D1B88"/>
    <w:rsid w:val="005D1DD1"/>
    <w:rsid w:val="005D275F"/>
    <w:rsid w:val="005D31E1"/>
    <w:rsid w:val="005D4389"/>
    <w:rsid w:val="005D4590"/>
    <w:rsid w:val="005D47DB"/>
    <w:rsid w:val="005D493D"/>
    <w:rsid w:val="005D6E8F"/>
    <w:rsid w:val="005D72D2"/>
    <w:rsid w:val="005E13D5"/>
    <w:rsid w:val="005E223D"/>
    <w:rsid w:val="005E33BB"/>
    <w:rsid w:val="005E423D"/>
    <w:rsid w:val="005E4EC7"/>
    <w:rsid w:val="005E630D"/>
    <w:rsid w:val="005E6397"/>
    <w:rsid w:val="005E688E"/>
    <w:rsid w:val="005E773E"/>
    <w:rsid w:val="005F0130"/>
    <w:rsid w:val="005F0B85"/>
    <w:rsid w:val="005F1182"/>
    <w:rsid w:val="005F11E4"/>
    <w:rsid w:val="005F1D01"/>
    <w:rsid w:val="005F20D2"/>
    <w:rsid w:val="005F3C51"/>
    <w:rsid w:val="005F5D86"/>
    <w:rsid w:val="005F5DDA"/>
    <w:rsid w:val="005F6D1F"/>
    <w:rsid w:val="005F7207"/>
    <w:rsid w:val="005F7295"/>
    <w:rsid w:val="0060088B"/>
    <w:rsid w:val="00602D85"/>
    <w:rsid w:val="00603045"/>
    <w:rsid w:val="00603E15"/>
    <w:rsid w:val="0060568C"/>
    <w:rsid w:val="00605B92"/>
    <w:rsid w:val="0060648E"/>
    <w:rsid w:val="00607640"/>
    <w:rsid w:val="006102BB"/>
    <w:rsid w:val="00611A9C"/>
    <w:rsid w:val="00612488"/>
    <w:rsid w:val="006129CF"/>
    <w:rsid w:val="00613FC0"/>
    <w:rsid w:val="0061615E"/>
    <w:rsid w:val="0061666E"/>
    <w:rsid w:val="00616B5B"/>
    <w:rsid w:val="00620CEA"/>
    <w:rsid w:val="0062202A"/>
    <w:rsid w:val="006222D6"/>
    <w:rsid w:val="00622645"/>
    <w:rsid w:val="006231A6"/>
    <w:rsid w:val="00623342"/>
    <w:rsid w:val="006246F3"/>
    <w:rsid w:val="00624A17"/>
    <w:rsid w:val="00624C67"/>
    <w:rsid w:val="00624FB6"/>
    <w:rsid w:val="0062533E"/>
    <w:rsid w:val="006254CE"/>
    <w:rsid w:val="00626EAF"/>
    <w:rsid w:val="00627ABD"/>
    <w:rsid w:val="00632124"/>
    <w:rsid w:val="00632A2E"/>
    <w:rsid w:val="00633008"/>
    <w:rsid w:val="0063381C"/>
    <w:rsid w:val="006345D8"/>
    <w:rsid w:val="00634DDB"/>
    <w:rsid w:val="00634E91"/>
    <w:rsid w:val="00634F08"/>
    <w:rsid w:val="00636F43"/>
    <w:rsid w:val="0063701A"/>
    <w:rsid w:val="0064074B"/>
    <w:rsid w:val="00640B11"/>
    <w:rsid w:val="00640C5D"/>
    <w:rsid w:val="006412DD"/>
    <w:rsid w:val="0064198D"/>
    <w:rsid w:val="00642185"/>
    <w:rsid w:val="006422F8"/>
    <w:rsid w:val="00644AC6"/>
    <w:rsid w:val="00644F73"/>
    <w:rsid w:val="006452B9"/>
    <w:rsid w:val="00645C87"/>
    <w:rsid w:val="0064665F"/>
    <w:rsid w:val="006478B8"/>
    <w:rsid w:val="00647EC7"/>
    <w:rsid w:val="0065001D"/>
    <w:rsid w:val="006502B5"/>
    <w:rsid w:val="00650DE0"/>
    <w:rsid w:val="006511E2"/>
    <w:rsid w:val="0065130C"/>
    <w:rsid w:val="00651486"/>
    <w:rsid w:val="00652046"/>
    <w:rsid w:val="00652099"/>
    <w:rsid w:val="006526C7"/>
    <w:rsid w:val="00653A27"/>
    <w:rsid w:val="006571BF"/>
    <w:rsid w:val="00657A89"/>
    <w:rsid w:val="00657C84"/>
    <w:rsid w:val="00661C33"/>
    <w:rsid w:val="00662293"/>
    <w:rsid w:val="00663438"/>
    <w:rsid w:val="00663E84"/>
    <w:rsid w:val="0066492F"/>
    <w:rsid w:val="00664F2B"/>
    <w:rsid w:val="0066542A"/>
    <w:rsid w:val="0066618D"/>
    <w:rsid w:val="006662CE"/>
    <w:rsid w:val="00671ABF"/>
    <w:rsid w:val="00673450"/>
    <w:rsid w:val="00673F65"/>
    <w:rsid w:val="00674246"/>
    <w:rsid w:val="0067511A"/>
    <w:rsid w:val="00677E21"/>
    <w:rsid w:val="00682ED3"/>
    <w:rsid w:val="0068372A"/>
    <w:rsid w:val="006850D8"/>
    <w:rsid w:val="00686D7C"/>
    <w:rsid w:val="006879E7"/>
    <w:rsid w:val="006903B1"/>
    <w:rsid w:val="00693C60"/>
    <w:rsid w:val="00694AA1"/>
    <w:rsid w:val="006964EA"/>
    <w:rsid w:val="0069676E"/>
    <w:rsid w:val="00696DAE"/>
    <w:rsid w:val="00697DC0"/>
    <w:rsid w:val="006A3BC8"/>
    <w:rsid w:val="006A4895"/>
    <w:rsid w:val="006A5BA0"/>
    <w:rsid w:val="006A5E75"/>
    <w:rsid w:val="006A6451"/>
    <w:rsid w:val="006A7A52"/>
    <w:rsid w:val="006B1179"/>
    <w:rsid w:val="006B1CDA"/>
    <w:rsid w:val="006B3B39"/>
    <w:rsid w:val="006B3C87"/>
    <w:rsid w:val="006B3E5D"/>
    <w:rsid w:val="006B3EDE"/>
    <w:rsid w:val="006B4CE7"/>
    <w:rsid w:val="006B5ACD"/>
    <w:rsid w:val="006B60EB"/>
    <w:rsid w:val="006B793F"/>
    <w:rsid w:val="006C037D"/>
    <w:rsid w:val="006C07F0"/>
    <w:rsid w:val="006C1DAA"/>
    <w:rsid w:val="006C1E29"/>
    <w:rsid w:val="006C2961"/>
    <w:rsid w:val="006C31D7"/>
    <w:rsid w:val="006C37DF"/>
    <w:rsid w:val="006C4655"/>
    <w:rsid w:val="006C4EE7"/>
    <w:rsid w:val="006C5BEE"/>
    <w:rsid w:val="006C71A1"/>
    <w:rsid w:val="006C78E4"/>
    <w:rsid w:val="006D398F"/>
    <w:rsid w:val="006D49B3"/>
    <w:rsid w:val="006D4BC3"/>
    <w:rsid w:val="006D4C50"/>
    <w:rsid w:val="006D4EA6"/>
    <w:rsid w:val="006D741F"/>
    <w:rsid w:val="006D7799"/>
    <w:rsid w:val="006E024E"/>
    <w:rsid w:val="006E1F8D"/>
    <w:rsid w:val="006E26EC"/>
    <w:rsid w:val="006E4DA3"/>
    <w:rsid w:val="006E52F5"/>
    <w:rsid w:val="006E5DFC"/>
    <w:rsid w:val="006E7CF8"/>
    <w:rsid w:val="006F054A"/>
    <w:rsid w:val="006F392C"/>
    <w:rsid w:val="006F520A"/>
    <w:rsid w:val="006F6E99"/>
    <w:rsid w:val="006F74B6"/>
    <w:rsid w:val="00702444"/>
    <w:rsid w:val="00702B50"/>
    <w:rsid w:val="00703ADC"/>
    <w:rsid w:val="00704041"/>
    <w:rsid w:val="007066CB"/>
    <w:rsid w:val="00707086"/>
    <w:rsid w:val="00707F2E"/>
    <w:rsid w:val="00711ACD"/>
    <w:rsid w:val="00712C2F"/>
    <w:rsid w:val="00712D5F"/>
    <w:rsid w:val="00715747"/>
    <w:rsid w:val="00716E5B"/>
    <w:rsid w:val="00717041"/>
    <w:rsid w:val="00720030"/>
    <w:rsid w:val="00723EEB"/>
    <w:rsid w:val="00724052"/>
    <w:rsid w:val="00724B75"/>
    <w:rsid w:val="00724C0E"/>
    <w:rsid w:val="00725D03"/>
    <w:rsid w:val="00726187"/>
    <w:rsid w:val="00726B3F"/>
    <w:rsid w:val="00726CDE"/>
    <w:rsid w:val="00730D95"/>
    <w:rsid w:val="00731B5F"/>
    <w:rsid w:val="00731C56"/>
    <w:rsid w:val="00732DC1"/>
    <w:rsid w:val="00733DB4"/>
    <w:rsid w:val="00733F86"/>
    <w:rsid w:val="007341DE"/>
    <w:rsid w:val="00734260"/>
    <w:rsid w:val="00737BB4"/>
    <w:rsid w:val="00741F63"/>
    <w:rsid w:val="00744E05"/>
    <w:rsid w:val="0074649B"/>
    <w:rsid w:val="00746823"/>
    <w:rsid w:val="00746DBD"/>
    <w:rsid w:val="00747032"/>
    <w:rsid w:val="00752125"/>
    <w:rsid w:val="007533B6"/>
    <w:rsid w:val="00754137"/>
    <w:rsid w:val="00755CC7"/>
    <w:rsid w:val="00757027"/>
    <w:rsid w:val="007572D3"/>
    <w:rsid w:val="0076060E"/>
    <w:rsid w:val="0076146F"/>
    <w:rsid w:val="00762F8D"/>
    <w:rsid w:val="007653D0"/>
    <w:rsid w:val="007658D8"/>
    <w:rsid w:val="00766710"/>
    <w:rsid w:val="00766A1C"/>
    <w:rsid w:val="00767205"/>
    <w:rsid w:val="00767613"/>
    <w:rsid w:val="0076781B"/>
    <w:rsid w:val="00770C42"/>
    <w:rsid w:val="0077210C"/>
    <w:rsid w:val="007743C6"/>
    <w:rsid w:val="00774F9A"/>
    <w:rsid w:val="007757AA"/>
    <w:rsid w:val="0077643C"/>
    <w:rsid w:val="00776CA5"/>
    <w:rsid w:val="007773E2"/>
    <w:rsid w:val="00780478"/>
    <w:rsid w:val="00780B5E"/>
    <w:rsid w:val="007810E6"/>
    <w:rsid w:val="0078248B"/>
    <w:rsid w:val="0078253D"/>
    <w:rsid w:val="00782B88"/>
    <w:rsid w:val="0078758E"/>
    <w:rsid w:val="0079015B"/>
    <w:rsid w:val="00792548"/>
    <w:rsid w:val="00793F5E"/>
    <w:rsid w:val="007955AE"/>
    <w:rsid w:val="00795711"/>
    <w:rsid w:val="00795EBF"/>
    <w:rsid w:val="007965D9"/>
    <w:rsid w:val="007A0006"/>
    <w:rsid w:val="007A0B8D"/>
    <w:rsid w:val="007A287B"/>
    <w:rsid w:val="007A3F0A"/>
    <w:rsid w:val="007A4441"/>
    <w:rsid w:val="007A45C9"/>
    <w:rsid w:val="007A477F"/>
    <w:rsid w:val="007A4C9F"/>
    <w:rsid w:val="007A5D95"/>
    <w:rsid w:val="007A625F"/>
    <w:rsid w:val="007A676E"/>
    <w:rsid w:val="007A7C27"/>
    <w:rsid w:val="007A7FF5"/>
    <w:rsid w:val="007B3BAA"/>
    <w:rsid w:val="007B5275"/>
    <w:rsid w:val="007B5D02"/>
    <w:rsid w:val="007B62CB"/>
    <w:rsid w:val="007B6B08"/>
    <w:rsid w:val="007C095C"/>
    <w:rsid w:val="007C1289"/>
    <w:rsid w:val="007C6E38"/>
    <w:rsid w:val="007D06EA"/>
    <w:rsid w:val="007D07FB"/>
    <w:rsid w:val="007D2026"/>
    <w:rsid w:val="007D2BB4"/>
    <w:rsid w:val="007D2C30"/>
    <w:rsid w:val="007D5BBB"/>
    <w:rsid w:val="007E3A10"/>
    <w:rsid w:val="007E55A2"/>
    <w:rsid w:val="007E6B8D"/>
    <w:rsid w:val="007E774A"/>
    <w:rsid w:val="007F08F7"/>
    <w:rsid w:val="007F1FBA"/>
    <w:rsid w:val="007F374F"/>
    <w:rsid w:val="007F3AF2"/>
    <w:rsid w:val="007F3D42"/>
    <w:rsid w:val="007F4328"/>
    <w:rsid w:val="007F4406"/>
    <w:rsid w:val="007F4E71"/>
    <w:rsid w:val="007F50E3"/>
    <w:rsid w:val="007F547C"/>
    <w:rsid w:val="007F57F4"/>
    <w:rsid w:val="007F754F"/>
    <w:rsid w:val="0080219F"/>
    <w:rsid w:val="00802DF7"/>
    <w:rsid w:val="0080319C"/>
    <w:rsid w:val="00803DEB"/>
    <w:rsid w:val="00804FDA"/>
    <w:rsid w:val="00805002"/>
    <w:rsid w:val="00805041"/>
    <w:rsid w:val="0080568A"/>
    <w:rsid w:val="00806E70"/>
    <w:rsid w:val="008102D6"/>
    <w:rsid w:val="0081189B"/>
    <w:rsid w:val="00811BAF"/>
    <w:rsid w:val="00813511"/>
    <w:rsid w:val="00814D58"/>
    <w:rsid w:val="008161BF"/>
    <w:rsid w:val="00816E04"/>
    <w:rsid w:val="00817969"/>
    <w:rsid w:val="00821673"/>
    <w:rsid w:val="00821C4B"/>
    <w:rsid w:val="00822AF2"/>
    <w:rsid w:val="008235CC"/>
    <w:rsid w:val="008244F8"/>
    <w:rsid w:val="0082454D"/>
    <w:rsid w:val="008250CC"/>
    <w:rsid w:val="008263F1"/>
    <w:rsid w:val="00826577"/>
    <w:rsid w:val="008279D9"/>
    <w:rsid w:val="00830495"/>
    <w:rsid w:val="008304A3"/>
    <w:rsid w:val="00831C2A"/>
    <w:rsid w:val="00831F15"/>
    <w:rsid w:val="008334F6"/>
    <w:rsid w:val="008344A0"/>
    <w:rsid w:val="00837BE3"/>
    <w:rsid w:val="00840BC8"/>
    <w:rsid w:val="00840C95"/>
    <w:rsid w:val="00841267"/>
    <w:rsid w:val="00842285"/>
    <w:rsid w:val="00842886"/>
    <w:rsid w:val="00844173"/>
    <w:rsid w:val="008456CB"/>
    <w:rsid w:val="0084580C"/>
    <w:rsid w:val="00845E6B"/>
    <w:rsid w:val="00846869"/>
    <w:rsid w:val="00846BF7"/>
    <w:rsid w:val="00846F7E"/>
    <w:rsid w:val="00851757"/>
    <w:rsid w:val="00851BB9"/>
    <w:rsid w:val="00852EF4"/>
    <w:rsid w:val="00853B7E"/>
    <w:rsid w:val="00853DE2"/>
    <w:rsid w:val="008549FE"/>
    <w:rsid w:val="0085521A"/>
    <w:rsid w:val="008555D5"/>
    <w:rsid w:val="0085682D"/>
    <w:rsid w:val="008577D5"/>
    <w:rsid w:val="00857FC5"/>
    <w:rsid w:val="008607D6"/>
    <w:rsid w:val="00860B19"/>
    <w:rsid w:val="0086143A"/>
    <w:rsid w:val="00862551"/>
    <w:rsid w:val="00862C45"/>
    <w:rsid w:val="00864082"/>
    <w:rsid w:val="0086687B"/>
    <w:rsid w:val="0087013C"/>
    <w:rsid w:val="008730CE"/>
    <w:rsid w:val="008732AC"/>
    <w:rsid w:val="00873649"/>
    <w:rsid w:val="00873895"/>
    <w:rsid w:val="00873CDD"/>
    <w:rsid w:val="0087447A"/>
    <w:rsid w:val="00875D14"/>
    <w:rsid w:val="00875D9E"/>
    <w:rsid w:val="00876EFB"/>
    <w:rsid w:val="008779D4"/>
    <w:rsid w:val="008779E7"/>
    <w:rsid w:val="008805E9"/>
    <w:rsid w:val="00880C62"/>
    <w:rsid w:val="008815EF"/>
    <w:rsid w:val="00883946"/>
    <w:rsid w:val="00884199"/>
    <w:rsid w:val="008844BB"/>
    <w:rsid w:val="0088593B"/>
    <w:rsid w:val="0088774A"/>
    <w:rsid w:val="008906C1"/>
    <w:rsid w:val="00890DEB"/>
    <w:rsid w:val="008916AE"/>
    <w:rsid w:val="00892550"/>
    <w:rsid w:val="0089336B"/>
    <w:rsid w:val="00893A74"/>
    <w:rsid w:val="00893AAD"/>
    <w:rsid w:val="0089557F"/>
    <w:rsid w:val="0089603A"/>
    <w:rsid w:val="008A06D1"/>
    <w:rsid w:val="008A072B"/>
    <w:rsid w:val="008A160D"/>
    <w:rsid w:val="008A2FEA"/>
    <w:rsid w:val="008B0091"/>
    <w:rsid w:val="008B11C7"/>
    <w:rsid w:val="008B1374"/>
    <w:rsid w:val="008B1612"/>
    <w:rsid w:val="008B1CDB"/>
    <w:rsid w:val="008B1D7C"/>
    <w:rsid w:val="008B2092"/>
    <w:rsid w:val="008B377D"/>
    <w:rsid w:val="008B3856"/>
    <w:rsid w:val="008B41F7"/>
    <w:rsid w:val="008B62D5"/>
    <w:rsid w:val="008B6FDF"/>
    <w:rsid w:val="008B7ABE"/>
    <w:rsid w:val="008B7D28"/>
    <w:rsid w:val="008B7F12"/>
    <w:rsid w:val="008C0BAF"/>
    <w:rsid w:val="008C123D"/>
    <w:rsid w:val="008C77BD"/>
    <w:rsid w:val="008D085E"/>
    <w:rsid w:val="008D1096"/>
    <w:rsid w:val="008D1C3C"/>
    <w:rsid w:val="008D1FE7"/>
    <w:rsid w:val="008D40FD"/>
    <w:rsid w:val="008D48EF"/>
    <w:rsid w:val="008D6650"/>
    <w:rsid w:val="008E100B"/>
    <w:rsid w:val="008E15F6"/>
    <w:rsid w:val="008E2954"/>
    <w:rsid w:val="008E3239"/>
    <w:rsid w:val="008E3289"/>
    <w:rsid w:val="008E387A"/>
    <w:rsid w:val="008E3973"/>
    <w:rsid w:val="008E560F"/>
    <w:rsid w:val="008E618C"/>
    <w:rsid w:val="008F18B9"/>
    <w:rsid w:val="008F26E6"/>
    <w:rsid w:val="008F29D8"/>
    <w:rsid w:val="008F2BBC"/>
    <w:rsid w:val="008F63EC"/>
    <w:rsid w:val="008F654B"/>
    <w:rsid w:val="008F6DEB"/>
    <w:rsid w:val="009002E1"/>
    <w:rsid w:val="00901708"/>
    <w:rsid w:val="00901782"/>
    <w:rsid w:val="0090230B"/>
    <w:rsid w:val="00903165"/>
    <w:rsid w:val="00903213"/>
    <w:rsid w:val="0090369D"/>
    <w:rsid w:val="009036B1"/>
    <w:rsid w:val="009042BB"/>
    <w:rsid w:val="00904EB6"/>
    <w:rsid w:val="009055B2"/>
    <w:rsid w:val="009060CF"/>
    <w:rsid w:val="009068AE"/>
    <w:rsid w:val="00906927"/>
    <w:rsid w:val="00907215"/>
    <w:rsid w:val="00907342"/>
    <w:rsid w:val="00910540"/>
    <w:rsid w:val="009105A5"/>
    <w:rsid w:val="009107D0"/>
    <w:rsid w:val="00910CAE"/>
    <w:rsid w:val="00912188"/>
    <w:rsid w:val="009130C6"/>
    <w:rsid w:val="00913148"/>
    <w:rsid w:val="00913BA9"/>
    <w:rsid w:val="00914447"/>
    <w:rsid w:val="009154CE"/>
    <w:rsid w:val="00916666"/>
    <w:rsid w:val="00920B84"/>
    <w:rsid w:val="009213D2"/>
    <w:rsid w:val="009219FB"/>
    <w:rsid w:val="0092238B"/>
    <w:rsid w:val="009226BD"/>
    <w:rsid w:val="0092343A"/>
    <w:rsid w:val="00926D90"/>
    <w:rsid w:val="0092798B"/>
    <w:rsid w:val="00930E0B"/>
    <w:rsid w:val="009311D7"/>
    <w:rsid w:val="00931B97"/>
    <w:rsid w:val="009334CF"/>
    <w:rsid w:val="00933E04"/>
    <w:rsid w:val="009341F1"/>
    <w:rsid w:val="009345B5"/>
    <w:rsid w:val="00934B1E"/>
    <w:rsid w:val="00934C68"/>
    <w:rsid w:val="009358FB"/>
    <w:rsid w:val="009359CE"/>
    <w:rsid w:val="00936735"/>
    <w:rsid w:val="00937146"/>
    <w:rsid w:val="00940A11"/>
    <w:rsid w:val="00942B3A"/>
    <w:rsid w:val="00946540"/>
    <w:rsid w:val="009502AD"/>
    <w:rsid w:val="0095039C"/>
    <w:rsid w:val="00950A75"/>
    <w:rsid w:val="009514D3"/>
    <w:rsid w:val="0095156C"/>
    <w:rsid w:val="009526D8"/>
    <w:rsid w:val="00953B2D"/>
    <w:rsid w:val="0095401C"/>
    <w:rsid w:val="0095463E"/>
    <w:rsid w:val="00954FA3"/>
    <w:rsid w:val="00956902"/>
    <w:rsid w:val="0096043D"/>
    <w:rsid w:val="00960717"/>
    <w:rsid w:val="00962069"/>
    <w:rsid w:val="00962825"/>
    <w:rsid w:val="00963FB8"/>
    <w:rsid w:val="00965A47"/>
    <w:rsid w:val="00966B1D"/>
    <w:rsid w:val="00970C5A"/>
    <w:rsid w:val="00970CE2"/>
    <w:rsid w:val="00971AA9"/>
    <w:rsid w:val="0097281C"/>
    <w:rsid w:val="009735BF"/>
    <w:rsid w:val="00973883"/>
    <w:rsid w:val="00973F23"/>
    <w:rsid w:val="00975071"/>
    <w:rsid w:val="00976D42"/>
    <w:rsid w:val="00980637"/>
    <w:rsid w:val="0098067F"/>
    <w:rsid w:val="00981C65"/>
    <w:rsid w:val="00984228"/>
    <w:rsid w:val="00984EBD"/>
    <w:rsid w:val="009851CA"/>
    <w:rsid w:val="00985C57"/>
    <w:rsid w:val="009864C6"/>
    <w:rsid w:val="00986AD9"/>
    <w:rsid w:val="0098752F"/>
    <w:rsid w:val="00990634"/>
    <w:rsid w:val="00992278"/>
    <w:rsid w:val="009925BE"/>
    <w:rsid w:val="00992AC4"/>
    <w:rsid w:val="00992E3D"/>
    <w:rsid w:val="00993578"/>
    <w:rsid w:val="00994DE3"/>
    <w:rsid w:val="00994E53"/>
    <w:rsid w:val="00996486"/>
    <w:rsid w:val="00996989"/>
    <w:rsid w:val="00997783"/>
    <w:rsid w:val="0099787F"/>
    <w:rsid w:val="009A03F3"/>
    <w:rsid w:val="009A1157"/>
    <w:rsid w:val="009A14E8"/>
    <w:rsid w:val="009A1CE4"/>
    <w:rsid w:val="009A1E27"/>
    <w:rsid w:val="009A23A5"/>
    <w:rsid w:val="009A3C06"/>
    <w:rsid w:val="009A3D47"/>
    <w:rsid w:val="009B081F"/>
    <w:rsid w:val="009B19B1"/>
    <w:rsid w:val="009B2072"/>
    <w:rsid w:val="009B30EC"/>
    <w:rsid w:val="009B358D"/>
    <w:rsid w:val="009B3D40"/>
    <w:rsid w:val="009B3DCA"/>
    <w:rsid w:val="009B49C9"/>
    <w:rsid w:val="009B7C54"/>
    <w:rsid w:val="009C1CE9"/>
    <w:rsid w:val="009C24A3"/>
    <w:rsid w:val="009C2FFA"/>
    <w:rsid w:val="009C3409"/>
    <w:rsid w:val="009C58A5"/>
    <w:rsid w:val="009C5E06"/>
    <w:rsid w:val="009D0FF8"/>
    <w:rsid w:val="009D1A4C"/>
    <w:rsid w:val="009D2C67"/>
    <w:rsid w:val="009D3089"/>
    <w:rsid w:val="009D440D"/>
    <w:rsid w:val="009D491C"/>
    <w:rsid w:val="009D5CEC"/>
    <w:rsid w:val="009E09B0"/>
    <w:rsid w:val="009E18D3"/>
    <w:rsid w:val="009E2812"/>
    <w:rsid w:val="009E4714"/>
    <w:rsid w:val="009E4AB1"/>
    <w:rsid w:val="009E4DC5"/>
    <w:rsid w:val="009E509A"/>
    <w:rsid w:val="009E7877"/>
    <w:rsid w:val="009F01E6"/>
    <w:rsid w:val="009F1196"/>
    <w:rsid w:val="009F1C36"/>
    <w:rsid w:val="009F3888"/>
    <w:rsid w:val="009F3B35"/>
    <w:rsid w:val="009F42A6"/>
    <w:rsid w:val="009F60FA"/>
    <w:rsid w:val="009F67BB"/>
    <w:rsid w:val="009F6D51"/>
    <w:rsid w:val="009F7B59"/>
    <w:rsid w:val="009F7F91"/>
    <w:rsid w:val="00A01157"/>
    <w:rsid w:val="00A01869"/>
    <w:rsid w:val="00A02821"/>
    <w:rsid w:val="00A029DE"/>
    <w:rsid w:val="00A04DEA"/>
    <w:rsid w:val="00A07E14"/>
    <w:rsid w:val="00A10A22"/>
    <w:rsid w:val="00A10CF5"/>
    <w:rsid w:val="00A11412"/>
    <w:rsid w:val="00A115D4"/>
    <w:rsid w:val="00A117D2"/>
    <w:rsid w:val="00A12650"/>
    <w:rsid w:val="00A12FF6"/>
    <w:rsid w:val="00A13C71"/>
    <w:rsid w:val="00A16261"/>
    <w:rsid w:val="00A167A6"/>
    <w:rsid w:val="00A1712B"/>
    <w:rsid w:val="00A17428"/>
    <w:rsid w:val="00A175D9"/>
    <w:rsid w:val="00A21D10"/>
    <w:rsid w:val="00A21D86"/>
    <w:rsid w:val="00A225CB"/>
    <w:rsid w:val="00A22B3B"/>
    <w:rsid w:val="00A236F4"/>
    <w:rsid w:val="00A2382F"/>
    <w:rsid w:val="00A24042"/>
    <w:rsid w:val="00A24D03"/>
    <w:rsid w:val="00A30362"/>
    <w:rsid w:val="00A3084B"/>
    <w:rsid w:val="00A33783"/>
    <w:rsid w:val="00A337D6"/>
    <w:rsid w:val="00A347D8"/>
    <w:rsid w:val="00A3591E"/>
    <w:rsid w:val="00A35E09"/>
    <w:rsid w:val="00A36621"/>
    <w:rsid w:val="00A372A5"/>
    <w:rsid w:val="00A375AE"/>
    <w:rsid w:val="00A37F33"/>
    <w:rsid w:val="00A40F5D"/>
    <w:rsid w:val="00A40F87"/>
    <w:rsid w:val="00A41FEC"/>
    <w:rsid w:val="00A433A8"/>
    <w:rsid w:val="00A463F7"/>
    <w:rsid w:val="00A47694"/>
    <w:rsid w:val="00A511A9"/>
    <w:rsid w:val="00A53280"/>
    <w:rsid w:val="00A532DC"/>
    <w:rsid w:val="00A54662"/>
    <w:rsid w:val="00A54693"/>
    <w:rsid w:val="00A551FA"/>
    <w:rsid w:val="00A55825"/>
    <w:rsid w:val="00A56A74"/>
    <w:rsid w:val="00A56EEE"/>
    <w:rsid w:val="00A57AC9"/>
    <w:rsid w:val="00A57BE8"/>
    <w:rsid w:val="00A6070A"/>
    <w:rsid w:val="00A61521"/>
    <w:rsid w:val="00A62B5D"/>
    <w:rsid w:val="00A64125"/>
    <w:rsid w:val="00A66092"/>
    <w:rsid w:val="00A662CC"/>
    <w:rsid w:val="00A66562"/>
    <w:rsid w:val="00A679DF"/>
    <w:rsid w:val="00A72424"/>
    <w:rsid w:val="00A725FC"/>
    <w:rsid w:val="00A72B29"/>
    <w:rsid w:val="00A7308C"/>
    <w:rsid w:val="00A7334B"/>
    <w:rsid w:val="00A742BC"/>
    <w:rsid w:val="00A74E09"/>
    <w:rsid w:val="00A76383"/>
    <w:rsid w:val="00A76CDC"/>
    <w:rsid w:val="00A772E6"/>
    <w:rsid w:val="00A804B1"/>
    <w:rsid w:val="00A8291E"/>
    <w:rsid w:val="00A84996"/>
    <w:rsid w:val="00A862EB"/>
    <w:rsid w:val="00A91AB4"/>
    <w:rsid w:val="00A92765"/>
    <w:rsid w:val="00A929CF"/>
    <w:rsid w:val="00A92FE4"/>
    <w:rsid w:val="00A95D41"/>
    <w:rsid w:val="00A96CC0"/>
    <w:rsid w:val="00A96D82"/>
    <w:rsid w:val="00A96ECA"/>
    <w:rsid w:val="00A97810"/>
    <w:rsid w:val="00A97EB2"/>
    <w:rsid w:val="00AA05B9"/>
    <w:rsid w:val="00AA0FDB"/>
    <w:rsid w:val="00AA1A25"/>
    <w:rsid w:val="00AA3923"/>
    <w:rsid w:val="00AA3AE4"/>
    <w:rsid w:val="00AA6879"/>
    <w:rsid w:val="00AA77EF"/>
    <w:rsid w:val="00AA7DCC"/>
    <w:rsid w:val="00AB1C7C"/>
    <w:rsid w:val="00AB1E44"/>
    <w:rsid w:val="00AB36AC"/>
    <w:rsid w:val="00AB7DD0"/>
    <w:rsid w:val="00AC1498"/>
    <w:rsid w:val="00AC1E6E"/>
    <w:rsid w:val="00AC2394"/>
    <w:rsid w:val="00AC266D"/>
    <w:rsid w:val="00AC32ED"/>
    <w:rsid w:val="00AC3440"/>
    <w:rsid w:val="00AC346B"/>
    <w:rsid w:val="00AC39AD"/>
    <w:rsid w:val="00AC3A86"/>
    <w:rsid w:val="00AC5B93"/>
    <w:rsid w:val="00AC6CEF"/>
    <w:rsid w:val="00AC6FAE"/>
    <w:rsid w:val="00AC72E7"/>
    <w:rsid w:val="00AC7DFE"/>
    <w:rsid w:val="00AD0BC0"/>
    <w:rsid w:val="00AD0E13"/>
    <w:rsid w:val="00AD1B7A"/>
    <w:rsid w:val="00AD1BD0"/>
    <w:rsid w:val="00AD1D7F"/>
    <w:rsid w:val="00AD2AA2"/>
    <w:rsid w:val="00AD619E"/>
    <w:rsid w:val="00AD6479"/>
    <w:rsid w:val="00AD78BC"/>
    <w:rsid w:val="00AD7F8B"/>
    <w:rsid w:val="00AE0C7B"/>
    <w:rsid w:val="00AE18FC"/>
    <w:rsid w:val="00AE2366"/>
    <w:rsid w:val="00AE25D6"/>
    <w:rsid w:val="00AE2AB9"/>
    <w:rsid w:val="00AE3417"/>
    <w:rsid w:val="00AE3736"/>
    <w:rsid w:val="00AE40D1"/>
    <w:rsid w:val="00AE72D3"/>
    <w:rsid w:val="00AE7489"/>
    <w:rsid w:val="00AF0349"/>
    <w:rsid w:val="00AF1E49"/>
    <w:rsid w:val="00AF33CC"/>
    <w:rsid w:val="00AF3C6B"/>
    <w:rsid w:val="00AF464A"/>
    <w:rsid w:val="00AF4D11"/>
    <w:rsid w:val="00AF5BAC"/>
    <w:rsid w:val="00AF60A7"/>
    <w:rsid w:val="00AF6BE9"/>
    <w:rsid w:val="00AF79C9"/>
    <w:rsid w:val="00B015F0"/>
    <w:rsid w:val="00B027E9"/>
    <w:rsid w:val="00B03D8D"/>
    <w:rsid w:val="00B0437E"/>
    <w:rsid w:val="00B046EF"/>
    <w:rsid w:val="00B04BA9"/>
    <w:rsid w:val="00B068ED"/>
    <w:rsid w:val="00B07992"/>
    <w:rsid w:val="00B07C09"/>
    <w:rsid w:val="00B1094A"/>
    <w:rsid w:val="00B10F35"/>
    <w:rsid w:val="00B132A1"/>
    <w:rsid w:val="00B13A35"/>
    <w:rsid w:val="00B140DF"/>
    <w:rsid w:val="00B14FC8"/>
    <w:rsid w:val="00B15248"/>
    <w:rsid w:val="00B15ADE"/>
    <w:rsid w:val="00B15EDD"/>
    <w:rsid w:val="00B15FD4"/>
    <w:rsid w:val="00B208CA"/>
    <w:rsid w:val="00B21669"/>
    <w:rsid w:val="00B22E70"/>
    <w:rsid w:val="00B236CD"/>
    <w:rsid w:val="00B2428B"/>
    <w:rsid w:val="00B249DE"/>
    <w:rsid w:val="00B24E73"/>
    <w:rsid w:val="00B255D5"/>
    <w:rsid w:val="00B25D65"/>
    <w:rsid w:val="00B272E5"/>
    <w:rsid w:val="00B27BFD"/>
    <w:rsid w:val="00B30F2B"/>
    <w:rsid w:val="00B32A6B"/>
    <w:rsid w:val="00B32CC5"/>
    <w:rsid w:val="00B333A2"/>
    <w:rsid w:val="00B362FA"/>
    <w:rsid w:val="00B37944"/>
    <w:rsid w:val="00B37DE0"/>
    <w:rsid w:val="00B43F87"/>
    <w:rsid w:val="00B4422C"/>
    <w:rsid w:val="00B45B93"/>
    <w:rsid w:val="00B46190"/>
    <w:rsid w:val="00B47638"/>
    <w:rsid w:val="00B47F2B"/>
    <w:rsid w:val="00B5054F"/>
    <w:rsid w:val="00B50B55"/>
    <w:rsid w:val="00B519BB"/>
    <w:rsid w:val="00B53970"/>
    <w:rsid w:val="00B57BF4"/>
    <w:rsid w:val="00B62826"/>
    <w:rsid w:val="00B67382"/>
    <w:rsid w:val="00B7019C"/>
    <w:rsid w:val="00B70E28"/>
    <w:rsid w:val="00B71AFE"/>
    <w:rsid w:val="00B71F27"/>
    <w:rsid w:val="00B73016"/>
    <w:rsid w:val="00B735BC"/>
    <w:rsid w:val="00B75BE9"/>
    <w:rsid w:val="00B7770E"/>
    <w:rsid w:val="00B77F50"/>
    <w:rsid w:val="00B80050"/>
    <w:rsid w:val="00B80D86"/>
    <w:rsid w:val="00B810C0"/>
    <w:rsid w:val="00B81437"/>
    <w:rsid w:val="00B8423F"/>
    <w:rsid w:val="00B84811"/>
    <w:rsid w:val="00B8525D"/>
    <w:rsid w:val="00B85B91"/>
    <w:rsid w:val="00B86D76"/>
    <w:rsid w:val="00B87BA3"/>
    <w:rsid w:val="00B90739"/>
    <w:rsid w:val="00B90A34"/>
    <w:rsid w:val="00B90FBB"/>
    <w:rsid w:val="00B94513"/>
    <w:rsid w:val="00B94DF6"/>
    <w:rsid w:val="00B94ED1"/>
    <w:rsid w:val="00B9679B"/>
    <w:rsid w:val="00B979E2"/>
    <w:rsid w:val="00BA05FE"/>
    <w:rsid w:val="00BA061F"/>
    <w:rsid w:val="00BA0699"/>
    <w:rsid w:val="00BA08D8"/>
    <w:rsid w:val="00BA0E26"/>
    <w:rsid w:val="00BA134C"/>
    <w:rsid w:val="00BA2B9C"/>
    <w:rsid w:val="00BA34E3"/>
    <w:rsid w:val="00BA5305"/>
    <w:rsid w:val="00BA56D5"/>
    <w:rsid w:val="00BA7FDC"/>
    <w:rsid w:val="00BB0293"/>
    <w:rsid w:val="00BB142C"/>
    <w:rsid w:val="00BB26C1"/>
    <w:rsid w:val="00BB3665"/>
    <w:rsid w:val="00BB71BA"/>
    <w:rsid w:val="00BC056E"/>
    <w:rsid w:val="00BC1116"/>
    <w:rsid w:val="00BC1680"/>
    <w:rsid w:val="00BC1F09"/>
    <w:rsid w:val="00BC4638"/>
    <w:rsid w:val="00BC55CF"/>
    <w:rsid w:val="00BC57E3"/>
    <w:rsid w:val="00BC5B12"/>
    <w:rsid w:val="00BC5E57"/>
    <w:rsid w:val="00BC6992"/>
    <w:rsid w:val="00BC7FE6"/>
    <w:rsid w:val="00BD0809"/>
    <w:rsid w:val="00BD2B0C"/>
    <w:rsid w:val="00BD4C21"/>
    <w:rsid w:val="00BD6CAF"/>
    <w:rsid w:val="00BE0EA6"/>
    <w:rsid w:val="00BE0F48"/>
    <w:rsid w:val="00BE1ACA"/>
    <w:rsid w:val="00BE1D3C"/>
    <w:rsid w:val="00BE2518"/>
    <w:rsid w:val="00BE2FAC"/>
    <w:rsid w:val="00BE523F"/>
    <w:rsid w:val="00BE62E2"/>
    <w:rsid w:val="00BE63AC"/>
    <w:rsid w:val="00BF02AB"/>
    <w:rsid w:val="00BF04B0"/>
    <w:rsid w:val="00BF2226"/>
    <w:rsid w:val="00BF2D5B"/>
    <w:rsid w:val="00BF31FA"/>
    <w:rsid w:val="00BF47F0"/>
    <w:rsid w:val="00BF4E7E"/>
    <w:rsid w:val="00BF67CC"/>
    <w:rsid w:val="00BF6E12"/>
    <w:rsid w:val="00BF760A"/>
    <w:rsid w:val="00BF7DBF"/>
    <w:rsid w:val="00C00D5F"/>
    <w:rsid w:val="00C01200"/>
    <w:rsid w:val="00C0123F"/>
    <w:rsid w:val="00C01795"/>
    <w:rsid w:val="00C01B76"/>
    <w:rsid w:val="00C02485"/>
    <w:rsid w:val="00C03337"/>
    <w:rsid w:val="00C04CD0"/>
    <w:rsid w:val="00C05B60"/>
    <w:rsid w:val="00C06357"/>
    <w:rsid w:val="00C063CB"/>
    <w:rsid w:val="00C066F7"/>
    <w:rsid w:val="00C07DE4"/>
    <w:rsid w:val="00C11E1F"/>
    <w:rsid w:val="00C12A68"/>
    <w:rsid w:val="00C1352A"/>
    <w:rsid w:val="00C14B51"/>
    <w:rsid w:val="00C15981"/>
    <w:rsid w:val="00C15A27"/>
    <w:rsid w:val="00C163B7"/>
    <w:rsid w:val="00C171B2"/>
    <w:rsid w:val="00C17AE6"/>
    <w:rsid w:val="00C2036A"/>
    <w:rsid w:val="00C220C8"/>
    <w:rsid w:val="00C22E58"/>
    <w:rsid w:val="00C23856"/>
    <w:rsid w:val="00C24932"/>
    <w:rsid w:val="00C24AC9"/>
    <w:rsid w:val="00C25C59"/>
    <w:rsid w:val="00C261E4"/>
    <w:rsid w:val="00C269EF"/>
    <w:rsid w:val="00C26CDE"/>
    <w:rsid w:val="00C26E6D"/>
    <w:rsid w:val="00C27660"/>
    <w:rsid w:val="00C27768"/>
    <w:rsid w:val="00C27F14"/>
    <w:rsid w:val="00C30A32"/>
    <w:rsid w:val="00C30B1E"/>
    <w:rsid w:val="00C30FE1"/>
    <w:rsid w:val="00C311CA"/>
    <w:rsid w:val="00C313EA"/>
    <w:rsid w:val="00C31A7F"/>
    <w:rsid w:val="00C3261F"/>
    <w:rsid w:val="00C336B5"/>
    <w:rsid w:val="00C33BD6"/>
    <w:rsid w:val="00C35052"/>
    <w:rsid w:val="00C353E8"/>
    <w:rsid w:val="00C358B5"/>
    <w:rsid w:val="00C36C11"/>
    <w:rsid w:val="00C37679"/>
    <w:rsid w:val="00C401E0"/>
    <w:rsid w:val="00C4076D"/>
    <w:rsid w:val="00C40C33"/>
    <w:rsid w:val="00C42A5E"/>
    <w:rsid w:val="00C42D95"/>
    <w:rsid w:val="00C43BC0"/>
    <w:rsid w:val="00C452A5"/>
    <w:rsid w:val="00C4607B"/>
    <w:rsid w:val="00C472EC"/>
    <w:rsid w:val="00C47367"/>
    <w:rsid w:val="00C47445"/>
    <w:rsid w:val="00C47945"/>
    <w:rsid w:val="00C51C82"/>
    <w:rsid w:val="00C5349C"/>
    <w:rsid w:val="00C548E1"/>
    <w:rsid w:val="00C54CA8"/>
    <w:rsid w:val="00C54F9D"/>
    <w:rsid w:val="00C55ADD"/>
    <w:rsid w:val="00C57882"/>
    <w:rsid w:val="00C60469"/>
    <w:rsid w:val="00C61939"/>
    <w:rsid w:val="00C6221B"/>
    <w:rsid w:val="00C62B01"/>
    <w:rsid w:val="00C63118"/>
    <w:rsid w:val="00C64B3F"/>
    <w:rsid w:val="00C65FB3"/>
    <w:rsid w:val="00C66023"/>
    <w:rsid w:val="00C66BCE"/>
    <w:rsid w:val="00C66E7B"/>
    <w:rsid w:val="00C67834"/>
    <w:rsid w:val="00C70CC7"/>
    <w:rsid w:val="00C717BE"/>
    <w:rsid w:val="00C730AC"/>
    <w:rsid w:val="00C75655"/>
    <w:rsid w:val="00C75D03"/>
    <w:rsid w:val="00C769A7"/>
    <w:rsid w:val="00C76BB7"/>
    <w:rsid w:val="00C8012D"/>
    <w:rsid w:val="00C80B3C"/>
    <w:rsid w:val="00C80C74"/>
    <w:rsid w:val="00C80E6B"/>
    <w:rsid w:val="00C81640"/>
    <w:rsid w:val="00C81659"/>
    <w:rsid w:val="00C81C9A"/>
    <w:rsid w:val="00C82074"/>
    <w:rsid w:val="00C8558B"/>
    <w:rsid w:val="00C857E6"/>
    <w:rsid w:val="00C86049"/>
    <w:rsid w:val="00C86894"/>
    <w:rsid w:val="00C90076"/>
    <w:rsid w:val="00C9422C"/>
    <w:rsid w:val="00C943E5"/>
    <w:rsid w:val="00C948B7"/>
    <w:rsid w:val="00C9516D"/>
    <w:rsid w:val="00CA21C6"/>
    <w:rsid w:val="00CA2FB4"/>
    <w:rsid w:val="00CA3038"/>
    <w:rsid w:val="00CA4CE3"/>
    <w:rsid w:val="00CA54AB"/>
    <w:rsid w:val="00CA5811"/>
    <w:rsid w:val="00CA5B69"/>
    <w:rsid w:val="00CA6C56"/>
    <w:rsid w:val="00CA7D60"/>
    <w:rsid w:val="00CB031D"/>
    <w:rsid w:val="00CB11ED"/>
    <w:rsid w:val="00CB12EA"/>
    <w:rsid w:val="00CB1515"/>
    <w:rsid w:val="00CB1BC9"/>
    <w:rsid w:val="00CB1EE5"/>
    <w:rsid w:val="00CB262F"/>
    <w:rsid w:val="00CB3486"/>
    <w:rsid w:val="00CB5897"/>
    <w:rsid w:val="00CB6A2B"/>
    <w:rsid w:val="00CB6EB4"/>
    <w:rsid w:val="00CB79F9"/>
    <w:rsid w:val="00CB7DE0"/>
    <w:rsid w:val="00CC138D"/>
    <w:rsid w:val="00CC175C"/>
    <w:rsid w:val="00CC1C37"/>
    <w:rsid w:val="00CC208D"/>
    <w:rsid w:val="00CC2A35"/>
    <w:rsid w:val="00CC2A9F"/>
    <w:rsid w:val="00CC2FD6"/>
    <w:rsid w:val="00CC43D6"/>
    <w:rsid w:val="00CC444B"/>
    <w:rsid w:val="00CC4A76"/>
    <w:rsid w:val="00CC5369"/>
    <w:rsid w:val="00CC5FC2"/>
    <w:rsid w:val="00CC6EAD"/>
    <w:rsid w:val="00CC74D5"/>
    <w:rsid w:val="00CC75C8"/>
    <w:rsid w:val="00CD1E77"/>
    <w:rsid w:val="00CD26F1"/>
    <w:rsid w:val="00CD290B"/>
    <w:rsid w:val="00CD2E6C"/>
    <w:rsid w:val="00CD2E94"/>
    <w:rsid w:val="00CD30BC"/>
    <w:rsid w:val="00CD3A29"/>
    <w:rsid w:val="00CD40DB"/>
    <w:rsid w:val="00CD45F2"/>
    <w:rsid w:val="00CD4F94"/>
    <w:rsid w:val="00CD6668"/>
    <w:rsid w:val="00CD6AC8"/>
    <w:rsid w:val="00CD6ECC"/>
    <w:rsid w:val="00CD7457"/>
    <w:rsid w:val="00CD7A4D"/>
    <w:rsid w:val="00CE5551"/>
    <w:rsid w:val="00CE56DE"/>
    <w:rsid w:val="00CE5A91"/>
    <w:rsid w:val="00CE6692"/>
    <w:rsid w:val="00CE6F85"/>
    <w:rsid w:val="00CE7D90"/>
    <w:rsid w:val="00CF0707"/>
    <w:rsid w:val="00CF1155"/>
    <w:rsid w:val="00CF1B40"/>
    <w:rsid w:val="00CF1BD9"/>
    <w:rsid w:val="00CF4F1A"/>
    <w:rsid w:val="00CF531E"/>
    <w:rsid w:val="00CF71DB"/>
    <w:rsid w:val="00CF72DA"/>
    <w:rsid w:val="00CF7967"/>
    <w:rsid w:val="00D02453"/>
    <w:rsid w:val="00D0377D"/>
    <w:rsid w:val="00D04153"/>
    <w:rsid w:val="00D0557D"/>
    <w:rsid w:val="00D0642D"/>
    <w:rsid w:val="00D10B2D"/>
    <w:rsid w:val="00D1543B"/>
    <w:rsid w:val="00D15628"/>
    <w:rsid w:val="00D158CB"/>
    <w:rsid w:val="00D20F53"/>
    <w:rsid w:val="00D2105F"/>
    <w:rsid w:val="00D21442"/>
    <w:rsid w:val="00D22303"/>
    <w:rsid w:val="00D229F5"/>
    <w:rsid w:val="00D22E61"/>
    <w:rsid w:val="00D2533B"/>
    <w:rsid w:val="00D2538A"/>
    <w:rsid w:val="00D26E6C"/>
    <w:rsid w:val="00D322DC"/>
    <w:rsid w:val="00D32D7E"/>
    <w:rsid w:val="00D3605F"/>
    <w:rsid w:val="00D367ED"/>
    <w:rsid w:val="00D405C9"/>
    <w:rsid w:val="00D4221E"/>
    <w:rsid w:val="00D426E0"/>
    <w:rsid w:val="00D42D36"/>
    <w:rsid w:val="00D4309C"/>
    <w:rsid w:val="00D43FC8"/>
    <w:rsid w:val="00D4464D"/>
    <w:rsid w:val="00D47B39"/>
    <w:rsid w:val="00D47CDD"/>
    <w:rsid w:val="00D5049F"/>
    <w:rsid w:val="00D5127F"/>
    <w:rsid w:val="00D5338B"/>
    <w:rsid w:val="00D53490"/>
    <w:rsid w:val="00D53AF3"/>
    <w:rsid w:val="00D53B1E"/>
    <w:rsid w:val="00D54B8D"/>
    <w:rsid w:val="00D566FF"/>
    <w:rsid w:val="00D572F7"/>
    <w:rsid w:val="00D57D32"/>
    <w:rsid w:val="00D60DDA"/>
    <w:rsid w:val="00D617A1"/>
    <w:rsid w:val="00D6226E"/>
    <w:rsid w:val="00D642C3"/>
    <w:rsid w:val="00D65430"/>
    <w:rsid w:val="00D7067D"/>
    <w:rsid w:val="00D71C7A"/>
    <w:rsid w:val="00D72CB9"/>
    <w:rsid w:val="00D73D0E"/>
    <w:rsid w:val="00D7434C"/>
    <w:rsid w:val="00D75D9C"/>
    <w:rsid w:val="00D75DDA"/>
    <w:rsid w:val="00D76174"/>
    <w:rsid w:val="00D767F1"/>
    <w:rsid w:val="00D76B22"/>
    <w:rsid w:val="00D76EB9"/>
    <w:rsid w:val="00D83313"/>
    <w:rsid w:val="00D83B83"/>
    <w:rsid w:val="00D8697A"/>
    <w:rsid w:val="00D86E9B"/>
    <w:rsid w:val="00D901A9"/>
    <w:rsid w:val="00D9076B"/>
    <w:rsid w:val="00D91753"/>
    <w:rsid w:val="00D9226C"/>
    <w:rsid w:val="00D92A49"/>
    <w:rsid w:val="00D93E73"/>
    <w:rsid w:val="00D93FFC"/>
    <w:rsid w:val="00D95858"/>
    <w:rsid w:val="00D96BC2"/>
    <w:rsid w:val="00D9783B"/>
    <w:rsid w:val="00DA02F7"/>
    <w:rsid w:val="00DA3056"/>
    <w:rsid w:val="00DA3E2F"/>
    <w:rsid w:val="00DA450A"/>
    <w:rsid w:val="00DA4570"/>
    <w:rsid w:val="00DA5BEF"/>
    <w:rsid w:val="00DA617D"/>
    <w:rsid w:val="00DA64EA"/>
    <w:rsid w:val="00DA6E87"/>
    <w:rsid w:val="00DA78E7"/>
    <w:rsid w:val="00DB03F4"/>
    <w:rsid w:val="00DB1743"/>
    <w:rsid w:val="00DB6A07"/>
    <w:rsid w:val="00DB7F35"/>
    <w:rsid w:val="00DC0BB6"/>
    <w:rsid w:val="00DC1E85"/>
    <w:rsid w:val="00DC388B"/>
    <w:rsid w:val="00DC40B4"/>
    <w:rsid w:val="00DC547A"/>
    <w:rsid w:val="00DC59A4"/>
    <w:rsid w:val="00DC743D"/>
    <w:rsid w:val="00DD1172"/>
    <w:rsid w:val="00DD1294"/>
    <w:rsid w:val="00DD35DD"/>
    <w:rsid w:val="00DD36B9"/>
    <w:rsid w:val="00DD3759"/>
    <w:rsid w:val="00DD37E1"/>
    <w:rsid w:val="00DD3A57"/>
    <w:rsid w:val="00DD49CB"/>
    <w:rsid w:val="00DD5AA7"/>
    <w:rsid w:val="00DD5D50"/>
    <w:rsid w:val="00DD6178"/>
    <w:rsid w:val="00DD6BD3"/>
    <w:rsid w:val="00DE038A"/>
    <w:rsid w:val="00DE1086"/>
    <w:rsid w:val="00DE252A"/>
    <w:rsid w:val="00DE4299"/>
    <w:rsid w:val="00DE4BE6"/>
    <w:rsid w:val="00DE4FA4"/>
    <w:rsid w:val="00DE66AA"/>
    <w:rsid w:val="00DE6947"/>
    <w:rsid w:val="00DE770B"/>
    <w:rsid w:val="00DE7EA6"/>
    <w:rsid w:val="00DF0281"/>
    <w:rsid w:val="00DF0291"/>
    <w:rsid w:val="00DF0909"/>
    <w:rsid w:val="00DF2DFB"/>
    <w:rsid w:val="00DF2EC7"/>
    <w:rsid w:val="00DF39BD"/>
    <w:rsid w:val="00DF45DB"/>
    <w:rsid w:val="00DF5ABC"/>
    <w:rsid w:val="00DF5BDE"/>
    <w:rsid w:val="00E00FDD"/>
    <w:rsid w:val="00E015A9"/>
    <w:rsid w:val="00E0234B"/>
    <w:rsid w:val="00E023FC"/>
    <w:rsid w:val="00E02BC1"/>
    <w:rsid w:val="00E02E9A"/>
    <w:rsid w:val="00E06F7D"/>
    <w:rsid w:val="00E10FFF"/>
    <w:rsid w:val="00E115BB"/>
    <w:rsid w:val="00E1171F"/>
    <w:rsid w:val="00E12749"/>
    <w:rsid w:val="00E134CE"/>
    <w:rsid w:val="00E14EFE"/>
    <w:rsid w:val="00E14F52"/>
    <w:rsid w:val="00E15FC7"/>
    <w:rsid w:val="00E16C80"/>
    <w:rsid w:val="00E17431"/>
    <w:rsid w:val="00E20836"/>
    <w:rsid w:val="00E209F0"/>
    <w:rsid w:val="00E20DA0"/>
    <w:rsid w:val="00E222AF"/>
    <w:rsid w:val="00E25395"/>
    <w:rsid w:val="00E25DA4"/>
    <w:rsid w:val="00E25E80"/>
    <w:rsid w:val="00E32029"/>
    <w:rsid w:val="00E32BD6"/>
    <w:rsid w:val="00E33580"/>
    <w:rsid w:val="00E33737"/>
    <w:rsid w:val="00E33BA0"/>
    <w:rsid w:val="00E33C00"/>
    <w:rsid w:val="00E33C56"/>
    <w:rsid w:val="00E34EFA"/>
    <w:rsid w:val="00E37960"/>
    <w:rsid w:val="00E424CA"/>
    <w:rsid w:val="00E427C9"/>
    <w:rsid w:val="00E42AEC"/>
    <w:rsid w:val="00E42B40"/>
    <w:rsid w:val="00E456C4"/>
    <w:rsid w:val="00E45955"/>
    <w:rsid w:val="00E45E50"/>
    <w:rsid w:val="00E45FF9"/>
    <w:rsid w:val="00E4642E"/>
    <w:rsid w:val="00E50DBF"/>
    <w:rsid w:val="00E51207"/>
    <w:rsid w:val="00E5145F"/>
    <w:rsid w:val="00E52232"/>
    <w:rsid w:val="00E5261E"/>
    <w:rsid w:val="00E52A38"/>
    <w:rsid w:val="00E53066"/>
    <w:rsid w:val="00E53AF4"/>
    <w:rsid w:val="00E53BCA"/>
    <w:rsid w:val="00E53DB6"/>
    <w:rsid w:val="00E54029"/>
    <w:rsid w:val="00E5418A"/>
    <w:rsid w:val="00E546F4"/>
    <w:rsid w:val="00E564E4"/>
    <w:rsid w:val="00E57F84"/>
    <w:rsid w:val="00E60FA8"/>
    <w:rsid w:val="00E61910"/>
    <w:rsid w:val="00E61D8E"/>
    <w:rsid w:val="00E636C6"/>
    <w:rsid w:val="00E64186"/>
    <w:rsid w:val="00E65D61"/>
    <w:rsid w:val="00E66D29"/>
    <w:rsid w:val="00E66EA7"/>
    <w:rsid w:val="00E67426"/>
    <w:rsid w:val="00E6770C"/>
    <w:rsid w:val="00E67D6C"/>
    <w:rsid w:val="00E708C5"/>
    <w:rsid w:val="00E71A5E"/>
    <w:rsid w:val="00E73062"/>
    <w:rsid w:val="00E745B2"/>
    <w:rsid w:val="00E74EE2"/>
    <w:rsid w:val="00E776AD"/>
    <w:rsid w:val="00E778C4"/>
    <w:rsid w:val="00E81322"/>
    <w:rsid w:val="00E83429"/>
    <w:rsid w:val="00E83E6F"/>
    <w:rsid w:val="00E85F40"/>
    <w:rsid w:val="00E90651"/>
    <w:rsid w:val="00E90D6F"/>
    <w:rsid w:val="00E91657"/>
    <w:rsid w:val="00E91AE2"/>
    <w:rsid w:val="00E922D9"/>
    <w:rsid w:val="00E9371A"/>
    <w:rsid w:val="00EA136B"/>
    <w:rsid w:val="00EA2B92"/>
    <w:rsid w:val="00EA2D35"/>
    <w:rsid w:val="00EA34BD"/>
    <w:rsid w:val="00EA4238"/>
    <w:rsid w:val="00EA506D"/>
    <w:rsid w:val="00EA5C31"/>
    <w:rsid w:val="00EB08D0"/>
    <w:rsid w:val="00EB2B3E"/>
    <w:rsid w:val="00EB5D16"/>
    <w:rsid w:val="00EB6186"/>
    <w:rsid w:val="00EC0FCD"/>
    <w:rsid w:val="00EC30A9"/>
    <w:rsid w:val="00EC3C6B"/>
    <w:rsid w:val="00EC480A"/>
    <w:rsid w:val="00EC5D23"/>
    <w:rsid w:val="00ED0080"/>
    <w:rsid w:val="00ED12C1"/>
    <w:rsid w:val="00ED23FA"/>
    <w:rsid w:val="00ED343F"/>
    <w:rsid w:val="00ED34A9"/>
    <w:rsid w:val="00ED4BDA"/>
    <w:rsid w:val="00ED58EE"/>
    <w:rsid w:val="00ED6703"/>
    <w:rsid w:val="00EE2A11"/>
    <w:rsid w:val="00EE2D15"/>
    <w:rsid w:val="00EE383E"/>
    <w:rsid w:val="00EE4958"/>
    <w:rsid w:val="00EE620C"/>
    <w:rsid w:val="00EE7226"/>
    <w:rsid w:val="00EE73C4"/>
    <w:rsid w:val="00EE7E23"/>
    <w:rsid w:val="00EF066A"/>
    <w:rsid w:val="00EF0BC8"/>
    <w:rsid w:val="00EF0D66"/>
    <w:rsid w:val="00EF1014"/>
    <w:rsid w:val="00EF1918"/>
    <w:rsid w:val="00EF3032"/>
    <w:rsid w:val="00EF377C"/>
    <w:rsid w:val="00EF3E5B"/>
    <w:rsid w:val="00EF4456"/>
    <w:rsid w:val="00EF627E"/>
    <w:rsid w:val="00EF6370"/>
    <w:rsid w:val="00EF6B4B"/>
    <w:rsid w:val="00EF7672"/>
    <w:rsid w:val="00EF7AA2"/>
    <w:rsid w:val="00EF7FD3"/>
    <w:rsid w:val="00F00807"/>
    <w:rsid w:val="00F01AF4"/>
    <w:rsid w:val="00F02610"/>
    <w:rsid w:val="00F03914"/>
    <w:rsid w:val="00F03AAC"/>
    <w:rsid w:val="00F03ECD"/>
    <w:rsid w:val="00F043D9"/>
    <w:rsid w:val="00F04BF6"/>
    <w:rsid w:val="00F04D6A"/>
    <w:rsid w:val="00F06169"/>
    <w:rsid w:val="00F0638F"/>
    <w:rsid w:val="00F10671"/>
    <w:rsid w:val="00F13041"/>
    <w:rsid w:val="00F1441D"/>
    <w:rsid w:val="00F14734"/>
    <w:rsid w:val="00F152CB"/>
    <w:rsid w:val="00F16A45"/>
    <w:rsid w:val="00F16CC7"/>
    <w:rsid w:val="00F20802"/>
    <w:rsid w:val="00F2111F"/>
    <w:rsid w:val="00F217FB"/>
    <w:rsid w:val="00F21DFA"/>
    <w:rsid w:val="00F230AA"/>
    <w:rsid w:val="00F238AD"/>
    <w:rsid w:val="00F24350"/>
    <w:rsid w:val="00F25CAB"/>
    <w:rsid w:val="00F25E5D"/>
    <w:rsid w:val="00F30525"/>
    <w:rsid w:val="00F30DDD"/>
    <w:rsid w:val="00F31761"/>
    <w:rsid w:val="00F322F4"/>
    <w:rsid w:val="00F357CE"/>
    <w:rsid w:val="00F35DFC"/>
    <w:rsid w:val="00F378AF"/>
    <w:rsid w:val="00F37DCA"/>
    <w:rsid w:val="00F415D5"/>
    <w:rsid w:val="00F417BA"/>
    <w:rsid w:val="00F42290"/>
    <w:rsid w:val="00F42535"/>
    <w:rsid w:val="00F43179"/>
    <w:rsid w:val="00F47954"/>
    <w:rsid w:val="00F512FB"/>
    <w:rsid w:val="00F516DF"/>
    <w:rsid w:val="00F5176F"/>
    <w:rsid w:val="00F51AB4"/>
    <w:rsid w:val="00F53346"/>
    <w:rsid w:val="00F53413"/>
    <w:rsid w:val="00F53982"/>
    <w:rsid w:val="00F5504C"/>
    <w:rsid w:val="00F5648E"/>
    <w:rsid w:val="00F5719C"/>
    <w:rsid w:val="00F572E8"/>
    <w:rsid w:val="00F573E5"/>
    <w:rsid w:val="00F576D0"/>
    <w:rsid w:val="00F57BA0"/>
    <w:rsid w:val="00F61513"/>
    <w:rsid w:val="00F62E1E"/>
    <w:rsid w:val="00F62EB2"/>
    <w:rsid w:val="00F634D6"/>
    <w:rsid w:val="00F643E3"/>
    <w:rsid w:val="00F667C0"/>
    <w:rsid w:val="00F709C9"/>
    <w:rsid w:val="00F729B5"/>
    <w:rsid w:val="00F73215"/>
    <w:rsid w:val="00F743AF"/>
    <w:rsid w:val="00F76ABE"/>
    <w:rsid w:val="00F76C99"/>
    <w:rsid w:val="00F77BE5"/>
    <w:rsid w:val="00F810EA"/>
    <w:rsid w:val="00F81B03"/>
    <w:rsid w:val="00F81BC5"/>
    <w:rsid w:val="00F82799"/>
    <w:rsid w:val="00F83D57"/>
    <w:rsid w:val="00F840D7"/>
    <w:rsid w:val="00F8540B"/>
    <w:rsid w:val="00F85D6A"/>
    <w:rsid w:val="00F86BDA"/>
    <w:rsid w:val="00F87165"/>
    <w:rsid w:val="00F87CF5"/>
    <w:rsid w:val="00F91884"/>
    <w:rsid w:val="00F91DEB"/>
    <w:rsid w:val="00F921F8"/>
    <w:rsid w:val="00F93E78"/>
    <w:rsid w:val="00F94E7A"/>
    <w:rsid w:val="00F952A6"/>
    <w:rsid w:val="00F96227"/>
    <w:rsid w:val="00F96996"/>
    <w:rsid w:val="00F96C8F"/>
    <w:rsid w:val="00F972CE"/>
    <w:rsid w:val="00FA0932"/>
    <w:rsid w:val="00FA0C6A"/>
    <w:rsid w:val="00FA20CE"/>
    <w:rsid w:val="00FA2304"/>
    <w:rsid w:val="00FA323A"/>
    <w:rsid w:val="00FA3359"/>
    <w:rsid w:val="00FA3483"/>
    <w:rsid w:val="00FA35B2"/>
    <w:rsid w:val="00FA3AE1"/>
    <w:rsid w:val="00FA3FB2"/>
    <w:rsid w:val="00FA4DBD"/>
    <w:rsid w:val="00FB207D"/>
    <w:rsid w:val="00FB2403"/>
    <w:rsid w:val="00FB2CF9"/>
    <w:rsid w:val="00FB5BE5"/>
    <w:rsid w:val="00FB6B02"/>
    <w:rsid w:val="00FB6BAF"/>
    <w:rsid w:val="00FB7831"/>
    <w:rsid w:val="00FC109A"/>
    <w:rsid w:val="00FC17B0"/>
    <w:rsid w:val="00FC1830"/>
    <w:rsid w:val="00FC2E93"/>
    <w:rsid w:val="00FC40EA"/>
    <w:rsid w:val="00FC4273"/>
    <w:rsid w:val="00FC4FB1"/>
    <w:rsid w:val="00FC542D"/>
    <w:rsid w:val="00FC58B9"/>
    <w:rsid w:val="00FC5A23"/>
    <w:rsid w:val="00FD0E86"/>
    <w:rsid w:val="00FD1CAC"/>
    <w:rsid w:val="00FD247B"/>
    <w:rsid w:val="00FD2548"/>
    <w:rsid w:val="00FD39C8"/>
    <w:rsid w:val="00FD627E"/>
    <w:rsid w:val="00FD71E9"/>
    <w:rsid w:val="00FE1060"/>
    <w:rsid w:val="00FE4ACB"/>
    <w:rsid w:val="00FE59A7"/>
    <w:rsid w:val="00FE7675"/>
    <w:rsid w:val="00FE7677"/>
    <w:rsid w:val="00FE7BB4"/>
    <w:rsid w:val="00FF03BB"/>
    <w:rsid w:val="00FF2E41"/>
    <w:rsid w:val="00FF353A"/>
    <w:rsid w:val="00FF3D2F"/>
    <w:rsid w:val="00FF4543"/>
    <w:rsid w:val="00FF5E1F"/>
    <w:rsid w:val="00FF6719"/>
    <w:rsid w:val="00FF6F89"/>
    <w:rsid w:val="00FF763C"/>
    <w:rsid w:val="00FF7E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A49EE3"/>
  <w15:docId w15:val="{779100F8-93B6-4797-B756-E6A870FEF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rsid w:val="007653D0"/>
    <w:pPr>
      <w:keepNext/>
      <w:numPr>
        <w:numId w:val="4"/>
      </w:numPr>
      <w:spacing w:after="120" w:line="360" w:lineRule="auto"/>
      <w:jc w:val="both"/>
      <w:outlineLvl w:val="0"/>
    </w:pPr>
    <w:rPr>
      <w:rFonts w:ascii="Times Cirilica" w:hAnsi="Times Cirilica"/>
      <w:b/>
      <w:smallCaps/>
      <w:sz w:val="32"/>
      <w:szCs w:val="20"/>
    </w:rPr>
  </w:style>
  <w:style w:type="paragraph" w:styleId="Heading2">
    <w:name w:val="heading 2"/>
    <w:basedOn w:val="Heading1"/>
    <w:next w:val="Normal"/>
    <w:qFormat/>
    <w:rsid w:val="007653D0"/>
    <w:pPr>
      <w:numPr>
        <w:ilvl w:val="1"/>
      </w:numPr>
      <w:spacing w:before="120" w:after="0"/>
      <w:jc w:val="left"/>
      <w:outlineLvl w:val="1"/>
    </w:pPr>
  </w:style>
  <w:style w:type="paragraph" w:styleId="Heading3">
    <w:name w:val="heading 3"/>
    <w:basedOn w:val="Normal"/>
    <w:next w:val="Normal"/>
    <w:qFormat/>
    <w:rsid w:val="007653D0"/>
    <w:pPr>
      <w:keepNext/>
      <w:numPr>
        <w:ilvl w:val="2"/>
        <w:numId w:val="4"/>
      </w:numPr>
      <w:spacing w:after="120" w:line="360" w:lineRule="auto"/>
      <w:jc w:val="both"/>
      <w:outlineLvl w:val="2"/>
    </w:pPr>
    <w:rPr>
      <w:rFonts w:ascii="Times Cirilica" w:hAnsi="Times Cirilica"/>
      <w:b/>
      <w:sz w:val="32"/>
      <w:szCs w:val="20"/>
    </w:rPr>
  </w:style>
  <w:style w:type="paragraph" w:styleId="Heading4">
    <w:name w:val="heading 4"/>
    <w:basedOn w:val="Normal"/>
    <w:next w:val="Normal"/>
    <w:qFormat/>
    <w:rsid w:val="007653D0"/>
    <w:pPr>
      <w:keepNext/>
      <w:numPr>
        <w:ilvl w:val="3"/>
        <w:numId w:val="4"/>
      </w:numPr>
      <w:outlineLvl w:val="3"/>
    </w:pPr>
    <w:rPr>
      <w:b/>
      <w:szCs w:val="20"/>
      <w:lang w:val="sl-SI"/>
    </w:rPr>
  </w:style>
  <w:style w:type="paragraph" w:styleId="Heading5">
    <w:name w:val="heading 5"/>
    <w:basedOn w:val="Normal"/>
    <w:next w:val="Normal"/>
    <w:qFormat/>
    <w:rsid w:val="007653D0"/>
    <w:pPr>
      <w:keepNext/>
      <w:numPr>
        <w:ilvl w:val="4"/>
        <w:numId w:val="4"/>
      </w:numPr>
      <w:jc w:val="both"/>
      <w:outlineLvl w:val="4"/>
    </w:pPr>
    <w:rPr>
      <w:b/>
      <w:bCs/>
      <w:szCs w:val="20"/>
      <w:lang w:val="sl-SI"/>
    </w:rPr>
  </w:style>
  <w:style w:type="paragraph" w:styleId="Heading6">
    <w:name w:val="heading 6"/>
    <w:basedOn w:val="Normal"/>
    <w:next w:val="Normal"/>
    <w:qFormat/>
    <w:rsid w:val="007653D0"/>
    <w:pPr>
      <w:keepNext/>
      <w:numPr>
        <w:ilvl w:val="5"/>
        <w:numId w:val="4"/>
      </w:numPr>
      <w:jc w:val="center"/>
      <w:outlineLvl w:val="5"/>
    </w:pPr>
    <w:rPr>
      <w:b/>
      <w:szCs w:val="20"/>
      <w:lang w:val="sl-SI"/>
    </w:rPr>
  </w:style>
  <w:style w:type="paragraph" w:styleId="Heading7">
    <w:name w:val="heading 7"/>
    <w:basedOn w:val="Normal"/>
    <w:next w:val="Normal"/>
    <w:qFormat/>
    <w:rsid w:val="007653D0"/>
    <w:pPr>
      <w:keepNext/>
      <w:numPr>
        <w:ilvl w:val="6"/>
        <w:numId w:val="4"/>
      </w:numPr>
      <w:jc w:val="center"/>
      <w:outlineLvl w:val="6"/>
    </w:pPr>
    <w:rPr>
      <w:b/>
      <w:sz w:val="20"/>
      <w:szCs w:val="20"/>
      <w:lang w:val="sl-SI"/>
    </w:rPr>
  </w:style>
  <w:style w:type="paragraph" w:styleId="Heading8">
    <w:name w:val="heading 8"/>
    <w:basedOn w:val="Normal"/>
    <w:next w:val="Normal"/>
    <w:qFormat/>
    <w:rsid w:val="007653D0"/>
    <w:pPr>
      <w:keepNext/>
      <w:numPr>
        <w:ilvl w:val="7"/>
        <w:numId w:val="4"/>
      </w:numPr>
      <w:jc w:val="both"/>
      <w:outlineLvl w:val="7"/>
    </w:pPr>
    <w:rPr>
      <w:b/>
      <w:sz w:val="20"/>
      <w:szCs w:val="20"/>
      <w:lang w:val="sl-SI"/>
    </w:rPr>
  </w:style>
  <w:style w:type="paragraph" w:styleId="Heading9">
    <w:name w:val="heading 9"/>
    <w:basedOn w:val="Normal"/>
    <w:next w:val="Normal"/>
    <w:qFormat/>
    <w:rsid w:val="007653D0"/>
    <w:pPr>
      <w:keepNext/>
      <w:numPr>
        <w:ilvl w:val="8"/>
        <w:numId w:val="4"/>
      </w:numPr>
      <w:jc w:val="center"/>
      <w:outlineLvl w:val="8"/>
    </w:pPr>
    <w:rPr>
      <w:szCs w:val="20"/>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B37944"/>
    <w:rPr>
      <w:rFonts w:ascii="Tahoma" w:hAnsi="Tahoma" w:cs="Tahoma"/>
      <w:sz w:val="16"/>
      <w:szCs w:val="16"/>
    </w:rPr>
  </w:style>
  <w:style w:type="paragraph" w:styleId="PlainText">
    <w:name w:val="Plain Text"/>
    <w:basedOn w:val="Normal"/>
    <w:rsid w:val="007653D0"/>
    <w:pPr>
      <w:spacing w:after="120"/>
      <w:jc w:val="both"/>
    </w:pPr>
    <w:rPr>
      <w:rFonts w:ascii="Courier New" w:hAnsi="Courier New"/>
      <w:sz w:val="20"/>
      <w:szCs w:val="20"/>
    </w:rPr>
  </w:style>
  <w:style w:type="paragraph" w:styleId="Footer">
    <w:name w:val="footer"/>
    <w:basedOn w:val="Normal"/>
    <w:rsid w:val="007653D0"/>
    <w:pPr>
      <w:tabs>
        <w:tab w:val="center" w:pos="4153"/>
        <w:tab w:val="right" w:pos="8306"/>
      </w:tabs>
      <w:spacing w:after="120"/>
      <w:jc w:val="both"/>
    </w:pPr>
    <w:rPr>
      <w:szCs w:val="20"/>
    </w:rPr>
  </w:style>
  <w:style w:type="paragraph" w:styleId="Header">
    <w:name w:val="header"/>
    <w:basedOn w:val="Normal"/>
    <w:rsid w:val="007653D0"/>
    <w:pPr>
      <w:tabs>
        <w:tab w:val="center" w:pos="4320"/>
        <w:tab w:val="right" w:pos="8640"/>
      </w:tabs>
    </w:pPr>
    <w:rPr>
      <w:sz w:val="18"/>
      <w:szCs w:val="20"/>
      <w:lang w:val="sr-Cyrl-CS" w:eastAsia="hr-HR"/>
    </w:rPr>
  </w:style>
  <w:style w:type="character" w:styleId="PageNumber">
    <w:name w:val="page number"/>
    <w:basedOn w:val="DefaultParagraphFont"/>
    <w:rsid w:val="00DA450A"/>
  </w:style>
  <w:style w:type="paragraph" w:styleId="NoSpacing">
    <w:name w:val="No Spacing"/>
    <w:link w:val="NoSpacingChar"/>
    <w:uiPriority w:val="1"/>
    <w:qFormat/>
    <w:rsid w:val="00DD3A57"/>
    <w:rPr>
      <w:rFonts w:ascii="Calibri" w:eastAsia="Calibri" w:hAnsi="Calibri"/>
      <w:sz w:val="22"/>
      <w:szCs w:val="22"/>
    </w:rPr>
  </w:style>
  <w:style w:type="character" w:customStyle="1" w:styleId="NoSpacingChar">
    <w:name w:val="No Spacing Char"/>
    <w:link w:val="NoSpacing"/>
    <w:uiPriority w:val="1"/>
    <w:rsid w:val="00DD3A57"/>
    <w:rPr>
      <w:rFonts w:ascii="Calibri" w:eastAsia="Calibri" w:hAnsi="Calibri"/>
      <w:sz w:val="22"/>
      <w:szCs w:val="22"/>
      <w:lang w:val="en-US" w:eastAsia="en-US" w:bidi="ar-SA"/>
    </w:rPr>
  </w:style>
  <w:style w:type="character" w:styleId="FootnoteReference">
    <w:name w:val="footnote reference"/>
    <w:unhideWhenUsed/>
    <w:rsid w:val="00830495"/>
    <w:rPr>
      <w:vertAlign w:val="superscript"/>
    </w:rPr>
  </w:style>
  <w:style w:type="paragraph" w:styleId="BodyText2">
    <w:name w:val="Body Text 2"/>
    <w:basedOn w:val="Normal"/>
    <w:link w:val="BodyText2Char"/>
    <w:rsid w:val="00830495"/>
    <w:pPr>
      <w:jc w:val="both"/>
    </w:pPr>
    <w:rPr>
      <w:lang w:val="sr-Cyrl-CS"/>
    </w:rPr>
  </w:style>
  <w:style w:type="character" w:customStyle="1" w:styleId="BodyText2Char">
    <w:name w:val="Body Text 2 Char"/>
    <w:link w:val="BodyText2"/>
    <w:rsid w:val="00830495"/>
    <w:rPr>
      <w:sz w:val="24"/>
      <w:szCs w:val="24"/>
      <w:lang w:val="sr-Cyrl-CS"/>
    </w:rPr>
  </w:style>
  <w:style w:type="paragraph" w:styleId="FootnoteText">
    <w:name w:val="footnote text"/>
    <w:basedOn w:val="Normal"/>
    <w:link w:val="FootnoteTextChar"/>
    <w:rsid w:val="00830495"/>
    <w:rPr>
      <w:sz w:val="20"/>
      <w:szCs w:val="20"/>
    </w:rPr>
  </w:style>
  <w:style w:type="character" w:customStyle="1" w:styleId="FootnoteTextChar">
    <w:name w:val="Footnote Text Char"/>
    <w:basedOn w:val="DefaultParagraphFont"/>
    <w:link w:val="FootnoteText"/>
    <w:rsid w:val="00830495"/>
  </w:style>
  <w:style w:type="table" w:styleId="TableGrid">
    <w:name w:val="Table Grid"/>
    <w:basedOn w:val="TableNormal"/>
    <w:rsid w:val="002F05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rsid w:val="004F7908"/>
    <w:pPr>
      <w:shd w:val="clear" w:color="auto" w:fill="000080"/>
    </w:pPr>
    <w:rPr>
      <w:rFonts w:ascii="Tahoma" w:hAnsi="Tahoma" w:cs="Tahoma"/>
      <w:sz w:val="20"/>
      <w:szCs w:val="20"/>
    </w:rPr>
  </w:style>
  <w:style w:type="character" w:customStyle="1" w:styleId="st">
    <w:name w:val="st"/>
    <w:basedOn w:val="DefaultParagraphFont"/>
    <w:rsid w:val="006B1179"/>
  </w:style>
  <w:style w:type="character" w:styleId="Emphasis">
    <w:name w:val="Emphasis"/>
    <w:uiPriority w:val="20"/>
    <w:qFormat/>
    <w:rsid w:val="006B1179"/>
    <w:rPr>
      <w:i/>
      <w:iCs/>
    </w:rPr>
  </w:style>
  <w:style w:type="character" w:styleId="Hyperlink">
    <w:name w:val="Hyperlink"/>
    <w:rsid w:val="00042897"/>
    <w:rPr>
      <w:color w:val="0000FF"/>
      <w:u w:val="single"/>
    </w:rPr>
  </w:style>
  <w:style w:type="paragraph" w:styleId="BodyText">
    <w:name w:val="Body Text"/>
    <w:basedOn w:val="Normal"/>
    <w:link w:val="BodyTextChar"/>
    <w:rsid w:val="00673F65"/>
    <w:pPr>
      <w:spacing w:after="120"/>
    </w:pPr>
  </w:style>
  <w:style w:type="character" w:customStyle="1" w:styleId="BodyTextChar">
    <w:name w:val="Body Text Char"/>
    <w:basedOn w:val="DefaultParagraphFont"/>
    <w:link w:val="BodyText"/>
    <w:rsid w:val="00673F65"/>
    <w:rPr>
      <w:sz w:val="24"/>
      <w:szCs w:val="24"/>
    </w:rPr>
  </w:style>
  <w:style w:type="paragraph" w:styleId="ListParagraph">
    <w:name w:val="List Paragraph"/>
    <w:basedOn w:val="Normal"/>
    <w:uiPriority w:val="34"/>
    <w:qFormat/>
    <w:rsid w:val="0033759C"/>
    <w:pPr>
      <w:ind w:left="720"/>
      <w:contextualSpacing/>
    </w:pPr>
  </w:style>
  <w:style w:type="character" w:customStyle="1" w:styleId="FontStyle11">
    <w:name w:val="Font Style11"/>
    <w:rsid w:val="0033759C"/>
    <w:rPr>
      <w:rFonts w:ascii="Times New Roman" w:hAnsi="Times New Roman" w:cs="Times New Roman"/>
      <w:b/>
      <w:bCs/>
      <w:sz w:val="16"/>
      <w:szCs w:val="16"/>
    </w:rPr>
  </w:style>
  <w:style w:type="character" w:styleId="SubtleReference">
    <w:name w:val="Subtle Reference"/>
    <w:basedOn w:val="DefaultParagraphFont"/>
    <w:uiPriority w:val="31"/>
    <w:qFormat/>
    <w:rsid w:val="00012061"/>
    <w:rPr>
      <w:smallCaps/>
      <w:color w:val="5A5A5A" w:themeColor="text1" w:themeTint="A5"/>
    </w:rPr>
  </w:style>
  <w:style w:type="paragraph" w:styleId="BodyTextIndent">
    <w:name w:val="Body Text Indent"/>
    <w:basedOn w:val="Normal"/>
    <w:link w:val="BodyTextIndentChar"/>
    <w:rsid w:val="00441718"/>
    <w:pPr>
      <w:spacing w:after="120"/>
      <w:ind w:left="283"/>
    </w:pPr>
  </w:style>
  <w:style w:type="character" w:customStyle="1" w:styleId="BodyTextIndentChar">
    <w:name w:val="Body Text Indent Char"/>
    <w:basedOn w:val="DefaultParagraphFont"/>
    <w:link w:val="BodyTextIndent"/>
    <w:rsid w:val="00441718"/>
    <w:rPr>
      <w:sz w:val="24"/>
      <w:szCs w:val="24"/>
    </w:rPr>
  </w:style>
  <w:style w:type="paragraph" w:customStyle="1" w:styleId="Default">
    <w:name w:val="Default"/>
    <w:rsid w:val="00441718"/>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8999199">
      <w:bodyDiv w:val="1"/>
      <w:marLeft w:val="0"/>
      <w:marRight w:val="0"/>
      <w:marTop w:val="0"/>
      <w:marBottom w:val="0"/>
      <w:divBdr>
        <w:top w:val="none" w:sz="0" w:space="0" w:color="auto"/>
        <w:left w:val="none" w:sz="0" w:space="0" w:color="auto"/>
        <w:bottom w:val="none" w:sz="0" w:space="0" w:color="auto"/>
        <w:right w:val="none" w:sz="0" w:space="0" w:color="auto"/>
      </w:divBdr>
    </w:div>
    <w:div w:id="626352907">
      <w:bodyDiv w:val="1"/>
      <w:marLeft w:val="0"/>
      <w:marRight w:val="0"/>
      <w:marTop w:val="0"/>
      <w:marBottom w:val="0"/>
      <w:divBdr>
        <w:top w:val="none" w:sz="0" w:space="0" w:color="auto"/>
        <w:left w:val="none" w:sz="0" w:space="0" w:color="auto"/>
        <w:bottom w:val="none" w:sz="0" w:space="0" w:color="auto"/>
        <w:right w:val="none" w:sz="0" w:space="0" w:color="auto"/>
      </w:divBdr>
    </w:div>
    <w:div w:id="810907755">
      <w:bodyDiv w:val="1"/>
      <w:marLeft w:val="0"/>
      <w:marRight w:val="0"/>
      <w:marTop w:val="0"/>
      <w:marBottom w:val="0"/>
      <w:divBdr>
        <w:top w:val="none" w:sz="0" w:space="0" w:color="auto"/>
        <w:left w:val="none" w:sz="0" w:space="0" w:color="auto"/>
        <w:bottom w:val="none" w:sz="0" w:space="0" w:color="auto"/>
        <w:right w:val="none" w:sz="0" w:space="0" w:color="auto"/>
      </w:divBdr>
    </w:div>
    <w:div w:id="877475651">
      <w:bodyDiv w:val="1"/>
      <w:marLeft w:val="0"/>
      <w:marRight w:val="0"/>
      <w:marTop w:val="0"/>
      <w:marBottom w:val="0"/>
      <w:divBdr>
        <w:top w:val="none" w:sz="0" w:space="0" w:color="auto"/>
        <w:left w:val="none" w:sz="0" w:space="0" w:color="auto"/>
        <w:bottom w:val="none" w:sz="0" w:space="0" w:color="auto"/>
        <w:right w:val="none" w:sz="0" w:space="0" w:color="auto"/>
      </w:divBdr>
    </w:div>
    <w:div w:id="918565216">
      <w:bodyDiv w:val="1"/>
      <w:marLeft w:val="0"/>
      <w:marRight w:val="0"/>
      <w:marTop w:val="0"/>
      <w:marBottom w:val="0"/>
      <w:divBdr>
        <w:top w:val="none" w:sz="0" w:space="0" w:color="auto"/>
        <w:left w:val="none" w:sz="0" w:space="0" w:color="auto"/>
        <w:bottom w:val="none" w:sz="0" w:space="0" w:color="auto"/>
        <w:right w:val="none" w:sz="0" w:space="0" w:color="auto"/>
      </w:divBdr>
    </w:div>
    <w:div w:id="923340485">
      <w:bodyDiv w:val="1"/>
      <w:marLeft w:val="0"/>
      <w:marRight w:val="0"/>
      <w:marTop w:val="0"/>
      <w:marBottom w:val="0"/>
      <w:divBdr>
        <w:top w:val="none" w:sz="0" w:space="0" w:color="auto"/>
        <w:left w:val="none" w:sz="0" w:space="0" w:color="auto"/>
        <w:bottom w:val="none" w:sz="0" w:space="0" w:color="auto"/>
        <w:right w:val="none" w:sz="0" w:space="0" w:color="auto"/>
      </w:divBdr>
    </w:div>
    <w:div w:id="1118178776">
      <w:bodyDiv w:val="1"/>
      <w:marLeft w:val="0"/>
      <w:marRight w:val="0"/>
      <w:marTop w:val="0"/>
      <w:marBottom w:val="0"/>
      <w:divBdr>
        <w:top w:val="none" w:sz="0" w:space="0" w:color="auto"/>
        <w:left w:val="none" w:sz="0" w:space="0" w:color="auto"/>
        <w:bottom w:val="none" w:sz="0" w:space="0" w:color="auto"/>
        <w:right w:val="none" w:sz="0" w:space="0" w:color="auto"/>
      </w:divBdr>
    </w:div>
    <w:div w:id="1297685234">
      <w:bodyDiv w:val="1"/>
      <w:marLeft w:val="0"/>
      <w:marRight w:val="0"/>
      <w:marTop w:val="0"/>
      <w:marBottom w:val="0"/>
      <w:divBdr>
        <w:top w:val="none" w:sz="0" w:space="0" w:color="auto"/>
        <w:left w:val="none" w:sz="0" w:space="0" w:color="auto"/>
        <w:bottom w:val="none" w:sz="0" w:space="0" w:color="auto"/>
        <w:right w:val="none" w:sz="0" w:space="0" w:color="auto"/>
      </w:divBdr>
    </w:div>
    <w:div w:id="1324628380">
      <w:bodyDiv w:val="1"/>
      <w:marLeft w:val="0"/>
      <w:marRight w:val="0"/>
      <w:marTop w:val="0"/>
      <w:marBottom w:val="0"/>
      <w:divBdr>
        <w:top w:val="none" w:sz="0" w:space="0" w:color="auto"/>
        <w:left w:val="none" w:sz="0" w:space="0" w:color="auto"/>
        <w:bottom w:val="none" w:sz="0" w:space="0" w:color="auto"/>
        <w:right w:val="none" w:sz="0" w:space="0" w:color="auto"/>
      </w:divBdr>
    </w:div>
    <w:div w:id="1406562699">
      <w:bodyDiv w:val="1"/>
      <w:marLeft w:val="0"/>
      <w:marRight w:val="0"/>
      <w:marTop w:val="0"/>
      <w:marBottom w:val="0"/>
      <w:divBdr>
        <w:top w:val="none" w:sz="0" w:space="0" w:color="auto"/>
        <w:left w:val="none" w:sz="0" w:space="0" w:color="auto"/>
        <w:bottom w:val="none" w:sz="0" w:space="0" w:color="auto"/>
        <w:right w:val="none" w:sz="0" w:space="0" w:color="auto"/>
      </w:divBdr>
    </w:div>
    <w:div w:id="1464616726">
      <w:bodyDiv w:val="1"/>
      <w:marLeft w:val="0"/>
      <w:marRight w:val="0"/>
      <w:marTop w:val="0"/>
      <w:marBottom w:val="0"/>
      <w:divBdr>
        <w:top w:val="none" w:sz="0" w:space="0" w:color="auto"/>
        <w:left w:val="none" w:sz="0" w:space="0" w:color="auto"/>
        <w:bottom w:val="none" w:sz="0" w:space="0" w:color="auto"/>
        <w:right w:val="none" w:sz="0" w:space="0" w:color="auto"/>
      </w:divBdr>
    </w:div>
    <w:div w:id="1634483312">
      <w:bodyDiv w:val="1"/>
      <w:marLeft w:val="0"/>
      <w:marRight w:val="0"/>
      <w:marTop w:val="0"/>
      <w:marBottom w:val="0"/>
      <w:divBdr>
        <w:top w:val="none" w:sz="0" w:space="0" w:color="auto"/>
        <w:left w:val="none" w:sz="0" w:space="0" w:color="auto"/>
        <w:bottom w:val="none" w:sz="0" w:space="0" w:color="auto"/>
        <w:right w:val="none" w:sz="0" w:space="0" w:color="auto"/>
      </w:divBdr>
    </w:div>
    <w:div w:id="1693799534">
      <w:bodyDiv w:val="1"/>
      <w:marLeft w:val="0"/>
      <w:marRight w:val="0"/>
      <w:marTop w:val="0"/>
      <w:marBottom w:val="0"/>
      <w:divBdr>
        <w:top w:val="none" w:sz="0" w:space="0" w:color="auto"/>
        <w:left w:val="none" w:sz="0" w:space="0" w:color="auto"/>
        <w:bottom w:val="none" w:sz="0" w:space="0" w:color="auto"/>
        <w:right w:val="none" w:sz="0" w:space="0" w:color="auto"/>
      </w:divBdr>
    </w:div>
    <w:div w:id="1867675253">
      <w:bodyDiv w:val="1"/>
      <w:marLeft w:val="0"/>
      <w:marRight w:val="0"/>
      <w:marTop w:val="0"/>
      <w:marBottom w:val="0"/>
      <w:divBdr>
        <w:top w:val="none" w:sz="0" w:space="0" w:color="auto"/>
        <w:left w:val="none" w:sz="0" w:space="0" w:color="auto"/>
        <w:bottom w:val="none" w:sz="0" w:space="0" w:color="auto"/>
        <w:right w:val="none" w:sz="0" w:space="0" w:color="auto"/>
      </w:divBdr>
    </w:div>
    <w:div w:id="1872104458">
      <w:bodyDiv w:val="1"/>
      <w:marLeft w:val="0"/>
      <w:marRight w:val="0"/>
      <w:marTop w:val="0"/>
      <w:marBottom w:val="0"/>
      <w:divBdr>
        <w:top w:val="none" w:sz="0" w:space="0" w:color="auto"/>
        <w:left w:val="none" w:sz="0" w:space="0" w:color="auto"/>
        <w:bottom w:val="none" w:sz="0" w:space="0" w:color="auto"/>
        <w:right w:val="none" w:sz="0" w:space="0" w:color="auto"/>
      </w:divBdr>
    </w:div>
    <w:div w:id="1990401168">
      <w:bodyDiv w:val="1"/>
      <w:marLeft w:val="0"/>
      <w:marRight w:val="0"/>
      <w:marTop w:val="0"/>
      <w:marBottom w:val="0"/>
      <w:divBdr>
        <w:top w:val="none" w:sz="0" w:space="0" w:color="auto"/>
        <w:left w:val="none" w:sz="0" w:space="0" w:color="auto"/>
        <w:bottom w:val="none" w:sz="0" w:space="0" w:color="auto"/>
        <w:right w:val="none" w:sz="0" w:space="0" w:color="auto"/>
      </w:divBdr>
    </w:div>
    <w:div w:id="2010787117">
      <w:bodyDiv w:val="1"/>
      <w:marLeft w:val="0"/>
      <w:marRight w:val="0"/>
      <w:marTop w:val="0"/>
      <w:marBottom w:val="0"/>
      <w:divBdr>
        <w:top w:val="none" w:sz="0" w:space="0" w:color="auto"/>
        <w:left w:val="none" w:sz="0" w:space="0" w:color="auto"/>
        <w:bottom w:val="none" w:sz="0" w:space="0" w:color="auto"/>
        <w:right w:val="none" w:sz="0" w:space="0" w:color="auto"/>
      </w:divBdr>
    </w:div>
    <w:div w:id="2132479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35258D-EF74-4663-9B1B-FCEE17A95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577</TotalTime>
  <Pages>12</Pages>
  <Words>4869</Words>
  <Characters>27755</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Napomene</vt:lpstr>
    </vt:vector>
  </TitlesOfParts>
  <Company/>
  <LinksUpToDate>false</LinksUpToDate>
  <CharactersWithSpaces>32559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Napomene</dc:title>
  <dc:subject/>
  <dc:creator>Darija</dc:creator>
  <cp:keywords/>
  <cp:lastModifiedBy>Korisnik</cp:lastModifiedBy>
  <cp:revision>37</cp:revision>
  <cp:lastPrinted>2024-04-24T08:39:00Z</cp:lastPrinted>
  <dcterms:created xsi:type="dcterms:W3CDTF">2023-02-01T09:54:00Z</dcterms:created>
  <dcterms:modified xsi:type="dcterms:W3CDTF">2024-04-24T08:42:00Z</dcterms:modified>
</cp:coreProperties>
</file>