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7CC76" w14:textId="1BF80734" w:rsidR="00546BDA" w:rsidRPr="008775D5" w:rsidRDefault="00EE2CE7" w:rsidP="00546BDA">
      <w:pPr>
        <w:jc w:val="center"/>
        <w:rPr>
          <w:rFonts w:ascii="Cambria" w:hAnsi="Cambria" w:cs="Times New Roman"/>
          <w:b/>
          <w:color w:val="000000"/>
          <w:sz w:val="28"/>
          <w:szCs w:val="28"/>
          <w:lang w:val="sr-Latn-CS"/>
        </w:rPr>
      </w:pPr>
      <w:r w:rsidRPr="008775D5">
        <w:rPr>
          <w:rFonts w:ascii="Cambria" w:hAnsi="Cambria" w:cs="Times New Roman"/>
          <w:b/>
          <w:color w:val="000000"/>
          <w:sz w:val="28"/>
          <w:szCs w:val="28"/>
          <w:lang w:val="sr-Latn-CS"/>
        </w:rPr>
        <w:t xml:space="preserve">  </w:t>
      </w:r>
      <w:r w:rsidR="00546BDA" w:rsidRPr="008775D5">
        <w:rPr>
          <w:rFonts w:ascii="Cambria" w:hAnsi="Cambria" w:cs="Times New Roman"/>
          <w:b/>
          <w:color w:val="000000"/>
          <w:sz w:val="28"/>
          <w:szCs w:val="28"/>
          <w:lang w:val="sr-Latn-CS"/>
        </w:rPr>
        <w:t>DRUŠTVO ZA UPRAVLJANJE INVESTICI</w:t>
      </w:r>
      <w:r w:rsidR="008A7151" w:rsidRPr="008775D5">
        <w:rPr>
          <w:rFonts w:ascii="Cambria" w:hAnsi="Cambria" w:cs="Times New Roman"/>
          <w:b/>
          <w:color w:val="000000"/>
          <w:sz w:val="28"/>
          <w:szCs w:val="28"/>
          <w:lang w:val="sr-Latn-CS"/>
        </w:rPr>
        <w:t>ONIM FONDOVIMA „POLARA INVEST“ A.D</w:t>
      </w:r>
      <w:r w:rsidR="00546BDA" w:rsidRPr="008775D5">
        <w:rPr>
          <w:rFonts w:ascii="Cambria" w:hAnsi="Cambria" w:cs="Times New Roman"/>
          <w:b/>
          <w:color w:val="000000"/>
          <w:sz w:val="28"/>
          <w:szCs w:val="28"/>
          <w:lang w:val="sr-Latn-CS"/>
        </w:rPr>
        <w:t>. BANJALUKA</w:t>
      </w:r>
    </w:p>
    <w:p w14:paraId="0CEB7701" w14:textId="77777777" w:rsidR="00546BDA" w:rsidRPr="008775D5" w:rsidRDefault="00546BDA" w:rsidP="00546BDA">
      <w:pPr>
        <w:tabs>
          <w:tab w:val="left" w:pos="4973"/>
        </w:tabs>
        <w:rPr>
          <w:rFonts w:ascii="Cambria" w:hAnsi="Cambria" w:cs="Times New Roman"/>
          <w:color w:val="000000"/>
          <w:sz w:val="28"/>
          <w:szCs w:val="28"/>
          <w:lang w:val="sr-Latn-CS"/>
        </w:rPr>
      </w:pPr>
      <w:r w:rsidRPr="008775D5">
        <w:rPr>
          <w:rFonts w:ascii="Cambria" w:hAnsi="Cambria" w:cs="Times New Roman"/>
          <w:color w:val="000000"/>
          <w:sz w:val="28"/>
          <w:szCs w:val="28"/>
          <w:lang w:val="sr-Latn-CS"/>
        </w:rPr>
        <w:tab/>
      </w:r>
    </w:p>
    <w:p w14:paraId="40411451" w14:textId="77777777" w:rsidR="00546BDA" w:rsidRPr="008775D5" w:rsidRDefault="00546BDA" w:rsidP="00546BDA">
      <w:pPr>
        <w:rPr>
          <w:rFonts w:ascii="Cambria" w:hAnsi="Cambria" w:cs="Times New Roman"/>
          <w:color w:val="000000"/>
          <w:sz w:val="28"/>
          <w:szCs w:val="28"/>
          <w:lang w:val="sr-Latn-CS"/>
        </w:rPr>
      </w:pPr>
    </w:p>
    <w:p w14:paraId="1BB52EAF" w14:textId="77777777" w:rsidR="00546BDA" w:rsidRPr="008775D5" w:rsidRDefault="00546BDA" w:rsidP="00546BDA">
      <w:pPr>
        <w:rPr>
          <w:rFonts w:ascii="Cambria" w:hAnsi="Cambria" w:cs="Times New Roman"/>
          <w:color w:val="000000"/>
          <w:sz w:val="28"/>
          <w:szCs w:val="28"/>
          <w:lang w:val="sr-Latn-CS"/>
        </w:rPr>
      </w:pPr>
    </w:p>
    <w:p w14:paraId="10CCBF73" w14:textId="77777777" w:rsidR="00546BDA" w:rsidRPr="008775D5" w:rsidRDefault="00546BDA" w:rsidP="00546BDA">
      <w:pPr>
        <w:rPr>
          <w:rFonts w:ascii="Cambria" w:hAnsi="Cambria" w:cs="Times New Roman"/>
          <w:color w:val="000000"/>
          <w:sz w:val="28"/>
          <w:szCs w:val="28"/>
          <w:lang w:val="sr-Latn-CS"/>
        </w:rPr>
      </w:pPr>
    </w:p>
    <w:p w14:paraId="19D96A62" w14:textId="77777777" w:rsidR="00546BDA" w:rsidRPr="008775D5" w:rsidRDefault="00546BDA" w:rsidP="00546BDA">
      <w:pPr>
        <w:rPr>
          <w:rFonts w:ascii="Cambria" w:hAnsi="Cambria" w:cs="Times New Roman"/>
          <w:color w:val="000000"/>
          <w:sz w:val="28"/>
          <w:szCs w:val="28"/>
          <w:lang w:val="sr-Latn-CS"/>
        </w:rPr>
      </w:pPr>
    </w:p>
    <w:p w14:paraId="44D2EFA4" w14:textId="77777777" w:rsidR="00546BDA" w:rsidRPr="008775D5" w:rsidRDefault="00546BDA" w:rsidP="00546BDA">
      <w:pPr>
        <w:rPr>
          <w:rFonts w:ascii="Cambria" w:hAnsi="Cambria" w:cs="Times New Roman"/>
          <w:color w:val="000000"/>
          <w:sz w:val="28"/>
          <w:szCs w:val="28"/>
          <w:lang w:val="sr-Latn-CS"/>
        </w:rPr>
      </w:pPr>
    </w:p>
    <w:p w14:paraId="6B404FB3" w14:textId="77777777" w:rsidR="00546BDA" w:rsidRPr="008775D5" w:rsidRDefault="00546BDA" w:rsidP="00546BDA">
      <w:pPr>
        <w:rPr>
          <w:rFonts w:ascii="Cambria" w:hAnsi="Cambria" w:cs="Times New Roman"/>
          <w:color w:val="000000"/>
          <w:sz w:val="28"/>
          <w:szCs w:val="28"/>
          <w:lang w:val="sr-Latn-CS"/>
        </w:rPr>
      </w:pPr>
    </w:p>
    <w:p w14:paraId="1D3E802A" w14:textId="77777777" w:rsidR="00546BDA" w:rsidRPr="008775D5" w:rsidRDefault="00546BDA" w:rsidP="00546BDA">
      <w:pPr>
        <w:rPr>
          <w:rFonts w:ascii="Cambria" w:hAnsi="Cambria" w:cs="Times New Roman"/>
          <w:color w:val="000000"/>
          <w:sz w:val="28"/>
          <w:szCs w:val="28"/>
          <w:lang w:val="sr-Latn-CS"/>
        </w:rPr>
      </w:pPr>
    </w:p>
    <w:p w14:paraId="01C781BC" w14:textId="77777777" w:rsidR="00546BDA" w:rsidRPr="008775D5" w:rsidRDefault="00546BDA" w:rsidP="00546BDA">
      <w:pPr>
        <w:rPr>
          <w:rFonts w:ascii="Cambria" w:hAnsi="Cambria" w:cs="Times New Roman"/>
          <w:b/>
          <w:color w:val="000000"/>
          <w:sz w:val="28"/>
          <w:szCs w:val="28"/>
          <w:lang w:val="sr-Latn-CS"/>
        </w:rPr>
      </w:pPr>
    </w:p>
    <w:p w14:paraId="5DC8BECB" w14:textId="77777777" w:rsidR="00546BDA" w:rsidRPr="008775D5" w:rsidRDefault="00546BDA" w:rsidP="00546BDA">
      <w:pPr>
        <w:jc w:val="center"/>
        <w:rPr>
          <w:rFonts w:ascii="Cambria" w:hAnsi="Cambria" w:cs="Times New Roman"/>
          <w:b/>
          <w:color w:val="000000"/>
          <w:sz w:val="28"/>
          <w:szCs w:val="28"/>
          <w:lang w:val="sr-Latn-CS"/>
        </w:rPr>
      </w:pPr>
      <w:r w:rsidRPr="008775D5">
        <w:rPr>
          <w:rFonts w:ascii="Cambria" w:hAnsi="Cambria" w:cs="Times New Roman"/>
          <w:b/>
          <w:color w:val="000000"/>
          <w:sz w:val="28"/>
          <w:szCs w:val="28"/>
          <w:lang w:val="sr-Latn-CS"/>
        </w:rPr>
        <w:t>NAPOMENE</w:t>
      </w:r>
    </w:p>
    <w:p w14:paraId="794C661C" w14:textId="77777777" w:rsidR="007372CA" w:rsidRPr="008775D5" w:rsidRDefault="00546BDA" w:rsidP="00546BDA">
      <w:pPr>
        <w:jc w:val="center"/>
        <w:rPr>
          <w:rFonts w:ascii="Cambria" w:hAnsi="Cambria" w:cs="Times New Roman"/>
          <w:b/>
          <w:color w:val="000000"/>
          <w:sz w:val="28"/>
          <w:szCs w:val="28"/>
          <w:lang w:val="sr-Latn-CS"/>
        </w:rPr>
      </w:pPr>
      <w:r w:rsidRPr="008775D5">
        <w:rPr>
          <w:rFonts w:ascii="Cambria" w:hAnsi="Cambria" w:cs="Times New Roman"/>
          <w:b/>
          <w:color w:val="000000"/>
          <w:sz w:val="28"/>
          <w:szCs w:val="28"/>
          <w:lang w:val="sr-Latn-CS"/>
        </w:rPr>
        <w:t xml:space="preserve"> uz finansijske izvještaje DUIF-a Polara Invest a.d. B</w:t>
      </w:r>
      <w:r w:rsidR="00D8305C" w:rsidRPr="008775D5">
        <w:rPr>
          <w:rFonts w:ascii="Cambria" w:hAnsi="Cambria" w:cs="Times New Roman"/>
          <w:b/>
          <w:color w:val="000000"/>
          <w:sz w:val="28"/>
          <w:szCs w:val="28"/>
          <w:lang w:val="sr-Latn-CS"/>
        </w:rPr>
        <w:t>anja Luka za period od</w:t>
      </w:r>
    </w:p>
    <w:p w14:paraId="02F63464" w14:textId="522B64B4" w:rsidR="00546BDA" w:rsidRPr="008775D5" w:rsidRDefault="00D8305C" w:rsidP="00546BDA">
      <w:pPr>
        <w:jc w:val="center"/>
        <w:rPr>
          <w:rFonts w:ascii="Cambria" w:hAnsi="Cambria" w:cs="Times New Roman"/>
          <w:b/>
          <w:color w:val="000000"/>
          <w:sz w:val="28"/>
          <w:szCs w:val="28"/>
          <w:lang w:val="sr-Latn-CS"/>
        </w:rPr>
      </w:pPr>
      <w:r w:rsidRPr="008775D5">
        <w:rPr>
          <w:rFonts w:ascii="Cambria" w:hAnsi="Cambria" w:cs="Times New Roman"/>
          <w:b/>
          <w:color w:val="000000"/>
          <w:sz w:val="28"/>
          <w:szCs w:val="28"/>
          <w:lang w:val="sr-Latn-CS"/>
        </w:rPr>
        <w:t xml:space="preserve"> 01.01.-3</w:t>
      </w:r>
      <w:r w:rsidR="00E64629">
        <w:rPr>
          <w:rFonts w:ascii="Cambria" w:hAnsi="Cambria" w:cs="Times New Roman"/>
          <w:b/>
          <w:color w:val="000000"/>
          <w:sz w:val="28"/>
          <w:szCs w:val="28"/>
          <w:lang w:val="sr-Latn-CS"/>
        </w:rPr>
        <w:t>0</w:t>
      </w:r>
      <w:r w:rsidR="00546BDA" w:rsidRPr="008775D5">
        <w:rPr>
          <w:rFonts w:ascii="Cambria" w:hAnsi="Cambria" w:cs="Times New Roman"/>
          <w:b/>
          <w:color w:val="000000"/>
          <w:sz w:val="28"/>
          <w:szCs w:val="28"/>
          <w:lang w:val="sr-Latn-CS"/>
        </w:rPr>
        <w:t>.</w:t>
      </w:r>
      <w:r w:rsidR="00E64629">
        <w:rPr>
          <w:rFonts w:ascii="Cambria" w:hAnsi="Cambria" w:cs="Times New Roman"/>
          <w:b/>
          <w:color w:val="000000"/>
          <w:sz w:val="28"/>
          <w:szCs w:val="28"/>
          <w:lang w:val="sr-Latn-CS"/>
        </w:rPr>
        <w:t>06</w:t>
      </w:r>
      <w:r w:rsidRPr="008775D5">
        <w:rPr>
          <w:rFonts w:ascii="Cambria" w:hAnsi="Cambria" w:cs="Times New Roman"/>
          <w:b/>
          <w:color w:val="000000"/>
          <w:sz w:val="28"/>
          <w:szCs w:val="28"/>
          <w:lang w:val="sr-Latn-CS"/>
        </w:rPr>
        <w:t>.20</w:t>
      </w:r>
      <w:r w:rsidR="00210006" w:rsidRPr="008775D5">
        <w:rPr>
          <w:rFonts w:ascii="Cambria" w:hAnsi="Cambria" w:cs="Times New Roman"/>
          <w:b/>
          <w:color w:val="000000"/>
          <w:sz w:val="28"/>
          <w:szCs w:val="28"/>
          <w:lang w:val="sr-Latn-CS"/>
        </w:rPr>
        <w:t>2</w:t>
      </w:r>
      <w:r w:rsidR="00E64629">
        <w:rPr>
          <w:rFonts w:ascii="Cambria" w:hAnsi="Cambria" w:cs="Times New Roman"/>
          <w:b/>
          <w:color w:val="000000"/>
          <w:sz w:val="28"/>
          <w:szCs w:val="28"/>
          <w:lang w:val="sr-Latn-CS"/>
        </w:rPr>
        <w:t>3</w:t>
      </w:r>
      <w:r w:rsidR="00546BDA" w:rsidRPr="008775D5">
        <w:rPr>
          <w:rFonts w:ascii="Cambria" w:hAnsi="Cambria" w:cs="Times New Roman"/>
          <w:b/>
          <w:color w:val="000000"/>
          <w:sz w:val="28"/>
          <w:szCs w:val="28"/>
          <w:lang w:val="sr-Latn-CS"/>
        </w:rPr>
        <w:t>. godine</w:t>
      </w:r>
    </w:p>
    <w:p w14:paraId="3A448951" w14:textId="77777777" w:rsidR="00546BDA" w:rsidRPr="008775D5" w:rsidRDefault="00546BDA" w:rsidP="00546BDA">
      <w:pPr>
        <w:jc w:val="center"/>
        <w:rPr>
          <w:rFonts w:ascii="Cambria" w:hAnsi="Cambria" w:cs="Times New Roman"/>
          <w:color w:val="000000"/>
          <w:sz w:val="28"/>
          <w:szCs w:val="28"/>
          <w:lang w:val="sr-Latn-CS"/>
        </w:rPr>
      </w:pPr>
    </w:p>
    <w:p w14:paraId="7254A99D" w14:textId="77777777" w:rsidR="00546BDA" w:rsidRPr="008775D5" w:rsidRDefault="00546BDA" w:rsidP="00546BDA">
      <w:pPr>
        <w:jc w:val="center"/>
        <w:rPr>
          <w:rFonts w:ascii="Cambria" w:hAnsi="Cambria" w:cs="Times New Roman"/>
          <w:color w:val="000000"/>
          <w:sz w:val="28"/>
          <w:szCs w:val="28"/>
          <w:lang w:val="sr-Latn-CS"/>
        </w:rPr>
      </w:pPr>
    </w:p>
    <w:p w14:paraId="34FBDDED" w14:textId="77777777" w:rsidR="00546BDA" w:rsidRPr="008775D5" w:rsidRDefault="00546BDA" w:rsidP="00546BDA">
      <w:pPr>
        <w:jc w:val="center"/>
        <w:rPr>
          <w:rFonts w:ascii="Cambria" w:hAnsi="Cambria" w:cs="Times New Roman"/>
          <w:color w:val="000000"/>
          <w:sz w:val="28"/>
          <w:szCs w:val="28"/>
          <w:lang w:val="sr-Latn-CS"/>
        </w:rPr>
      </w:pPr>
    </w:p>
    <w:p w14:paraId="3D7DAA89" w14:textId="77777777" w:rsidR="00546BDA" w:rsidRPr="008775D5" w:rsidRDefault="00546BDA" w:rsidP="00546BDA">
      <w:pPr>
        <w:jc w:val="center"/>
        <w:rPr>
          <w:rFonts w:ascii="Cambria" w:hAnsi="Cambria" w:cs="Times New Roman"/>
          <w:color w:val="000000"/>
          <w:sz w:val="28"/>
          <w:szCs w:val="28"/>
          <w:lang w:val="sr-Latn-CS"/>
        </w:rPr>
      </w:pPr>
    </w:p>
    <w:p w14:paraId="190410A8" w14:textId="77777777" w:rsidR="00546BDA" w:rsidRPr="008775D5" w:rsidRDefault="00546BDA" w:rsidP="00546BDA">
      <w:pPr>
        <w:jc w:val="center"/>
        <w:rPr>
          <w:rFonts w:ascii="Cambria" w:hAnsi="Cambria" w:cs="Times New Roman"/>
          <w:color w:val="000000"/>
          <w:sz w:val="28"/>
          <w:szCs w:val="28"/>
          <w:lang w:val="sr-Latn-CS"/>
        </w:rPr>
      </w:pPr>
    </w:p>
    <w:p w14:paraId="4BFFAA10" w14:textId="77777777" w:rsidR="00546BDA" w:rsidRPr="008775D5" w:rsidRDefault="00546BDA" w:rsidP="00546BDA">
      <w:pPr>
        <w:jc w:val="center"/>
        <w:rPr>
          <w:rFonts w:ascii="Cambria" w:hAnsi="Cambria" w:cs="Times New Roman"/>
          <w:color w:val="000000"/>
          <w:sz w:val="28"/>
          <w:szCs w:val="28"/>
          <w:lang w:val="sr-Latn-CS"/>
        </w:rPr>
      </w:pPr>
    </w:p>
    <w:p w14:paraId="2A2C0806" w14:textId="77777777" w:rsidR="00546BDA" w:rsidRPr="008775D5" w:rsidRDefault="00546BDA" w:rsidP="00546BDA">
      <w:pPr>
        <w:jc w:val="both"/>
        <w:rPr>
          <w:rFonts w:ascii="Cambria" w:hAnsi="Cambria" w:cs="Times New Roman"/>
          <w:color w:val="000000"/>
          <w:sz w:val="28"/>
          <w:szCs w:val="28"/>
          <w:lang w:val="sr-Latn-CS"/>
        </w:rPr>
      </w:pPr>
    </w:p>
    <w:p w14:paraId="22FBB8AB" w14:textId="77777777" w:rsidR="00B91ED8" w:rsidRPr="008775D5" w:rsidRDefault="00B91ED8" w:rsidP="00B91ED8">
      <w:pPr>
        <w:rPr>
          <w:rFonts w:ascii="Cambria" w:hAnsi="Cambria" w:cs="Times New Roman"/>
          <w:b/>
          <w:color w:val="000000"/>
          <w:sz w:val="28"/>
          <w:szCs w:val="28"/>
          <w:lang w:val="sr-Latn-CS"/>
        </w:rPr>
      </w:pPr>
    </w:p>
    <w:p w14:paraId="23B95C39" w14:textId="00F7E0AC" w:rsidR="00B91ED8" w:rsidRPr="008775D5" w:rsidRDefault="00D8305C" w:rsidP="00B91ED8">
      <w:pPr>
        <w:rPr>
          <w:rFonts w:ascii="Cambria" w:hAnsi="Cambria" w:cs="Times New Roman"/>
          <w:color w:val="000000"/>
          <w:sz w:val="26"/>
          <w:szCs w:val="26"/>
          <w:lang w:val="sr-Latn-CS"/>
        </w:rPr>
      </w:pPr>
      <w:r w:rsidRPr="008775D5">
        <w:rPr>
          <w:rFonts w:ascii="Cambria" w:hAnsi="Cambria" w:cs="Times New Roman"/>
          <w:color w:val="000000"/>
          <w:sz w:val="26"/>
          <w:szCs w:val="26"/>
          <w:lang w:val="sr-Latn-CS"/>
        </w:rPr>
        <w:t xml:space="preserve">Banja Luka, </w:t>
      </w:r>
      <w:r w:rsidR="00E64629">
        <w:rPr>
          <w:rFonts w:ascii="Cambria" w:hAnsi="Cambria" w:cs="Times New Roman"/>
          <w:sz w:val="26"/>
          <w:szCs w:val="26"/>
          <w:lang w:val="sr-Latn-CS"/>
        </w:rPr>
        <w:t>juli</w:t>
      </w:r>
      <w:r w:rsidRPr="008775D5">
        <w:rPr>
          <w:rFonts w:ascii="Cambria" w:hAnsi="Cambria" w:cs="Times New Roman"/>
          <w:sz w:val="26"/>
          <w:szCs w:val="26"/>
          <w:lang w:val="sr-Latn-CS"/>
        </w:rPr>
        <w:t xml:space="preserve"> 20</w:t>
      </w:r>
      <w:r w:rsidR="00210006" w:rsidRPr="008775D5">
        <w:rPr>
          <w:rFonts w:ascii="Cambria" w:hAnsi="Cambria" w:cs="Times New Roman"/>
          <w:sz w:val="26"/>
          <w:szCs w:val="26"/>
          <w:lang w:val="sr-Latn-CS"/>
        </w:rPr>
        <w:t>2</w:t>
      </w:r>
      <w:r w:rsidR="003E6460" w:rsidRPr="008775D5">
        <w:rPr>
          <w:rFonts w:ascii="Cambria" w:hAnsi="Cambria" w:cs="Times New Roman"/>
          <w:sz w:val="26"/>
          <w:szCs w:val="26"/>
          <w:lang w:val="sr-Latn-CS"/>
        </w:rPr>
        <w:t>3</w:t>
      </w:r>
      <w:r w:rsidR="00546BDA" w:rsidRPr="008775D5">
        <w:rPr>
          <w:rFonts w:ascii="Cambria" w:hAnsi="Cambria" w:cs="Times New Roman"/>
          <w:color w:val="000000"/>
          <w:sz w:val="26"/>
          <w:szCs w:val="26"/>
          <w:lang w:val="sr-Latn-CS"/>
        </w:rPr>
        <w:t>. godine</w:t>
      </w:r>
    </w:p>
    <w:p w14:paraId="2E72E3A6" w14:textId="0CE7A4CD" w:rsidR="00453CC6" w:rsidRPr="008775D5" w:rsidRDefault="00453CC6" w:rsidP="00453CC6">
      <w:pPr>
        <w:pStyle w:val="ListParagraph"/>
        <w:numPr>
          <w:ilvl w:val="0"/>
          <w:numId w:val="4"/>
        </w:numPr>
        <w:rPr>
          <w:rFonts w:ascii="Cambria" w:hAnsi="Cambria" w:cs="Times New Roman"/>
          <w:color w:val="000000"/>
          <w:sz w:val="24"/>
          <w:szCs w:val="24"/>
          <w:lang w:val="sr-Latn-CS"/>
        </w:rPr>
      </w:pPr>
      <w:r w:rsidRPr="008775D5">
        <w:rPr>
          <w:rFonts w:ascii="Cambria" w:hAnsi="Cambria" w:cs="Times New Roman"/>
          <w:b/>
          <w:bCs/>
          <w:color w:val="000000"/>
          <w:sz w:val="24"/>
          <w:szCs w:val="24"/>
          <w:lang w:val="sr-Latn-CS"/>
        </w:rPr>
        <w:lastRenderedPageBreak/>
        <w:t>OSNIVANJE I DJELATNOST</w:t>
      </w:r>
    </w:p>
    <w:p w14:paraId="08335DB5" w14:textId="77777777" w:rsidR="00453CC6" w:rsidRPr="008775D5" w:rsidRDefault="00453CC6" w:rsidP="00453CC6">
      <w:pPr>
        <w:spacing w:line="240" w:lineRule="auto"/>
        <w:jc w:val="both"/>
        <w:rPr>
          <w:rFonts w:ascii="Cambria" w:hAnsi="Cambria" w:cs="Times New Roman"/>
          <w:sz w:val="24"/>
          <w:szCs w:val="24"/>
        </w:rPr>
      </w:pPr>
      <w:r w:rsidRPr="008775D5">
        <w:rPr>
          <w:rFonts w:ascii="Cambria" w:hAnsi="Cambria" w:cs="Times New Roman"/>
          <w:sz w:val="24"/>
          <w:szCs w:val="24"/>
        </w:rPr>
        <w:t>Društvo za upravljanje investicionim fondovima „POLARA INVEST“ a.d. Banja Luka (u daljem tekstu: Društvo) je pravni sljedbenik Društva za upravljanje privatizacionim investicionim fondom „Polara Invest“ a.d. Banja Luka, koje je osnovano 29. septembra 2000. godine, na osnovu Rješenja Komisije za hartije od vrijednosti Republike Srpske (u daljem tekstu: KHOV) broj 04-UP-041-109/00 od 5. oktobra 2000. godine, kojim je izdata dozvola za rad Društva.</w:t>
      </w:r>
    </w:p>
    <w:p w14:paraId="236BB79F" w14:textId="545CC573" w:rsidR="00453CC6" w:rsidRPr="008775D5" w:rsidRDefault="00453CC6" w:rsidP="00453CC6">
      <w:pPr>
        <w:spacing w:line="240" w:lineRule="auto"/>
        <w:jc w:val="both"/>
        <w:rPr>
          <w:rFonts w:ascii="Cambria" w:hAnsi="Cambria" w:cs="Times New Roman"/>
          <w:sz w:val="24"/>
          <w:szCs w:val="24"/>
        </w:rPr>
      </w:pPr>
      <w:r w:rsidRPr="008775D5">
        <w:rPr>
          <w:rFonts w:ascii="Cambria" w:hAnsi="Cambria" w:cs="Times New Roman"/>
          <w:sz w:val="24"/>
          <w:szCs w:val="24"/>
        </w:rPr>
        <w:t>KHOV je 25. maja 2007. godine donijela Rješenje broj 01-UP-041-2078/07 kojim je data dozvola za nastavak poslovanja Društva za upravljanje privatizacionim investicionim fondom „Polara Invest“ a.d. Banja Luka kao društva za upravljanje investicionim fondovima.</w:t>
      </w:r>
    </w:p>
    <w:p w14:paraId="44ECCEFC" w14:textId="060FADD0" w:rsidR="00453CC6" w:rsidRPr="008775D5" w:rsidRDefault="00453CC6" w:rsidP="00453CC6">
      <w:pPr>
        <w:spacing w:line="240" w:lineRule="auto"/>
        <w:jc w:val="both"/>
        <w:rPr>
          <w:rFonts w:ascii="Cambria" w:hAnsi="Cambria" w:cs="Times New Roman"/>
          <w:sz w:val="24"/>
          <w:szCs w:val="24"/>
        </w:rPr>
      </w:pPr>
      <w:r w:rsidRPr="008775D5">
        <w:rPr>
          <w:rFonts w:ascii="Cambria" w:hAnsi="Cambria" w:cs="Times New Roman"/>
          <w:sz w:val="24"/>
          <w:szCs w:val="24"/>
        </w:rPr>
        <w:t>Promjena naziva Društva i usklađivanje sa Zakonom o investicionim fondovima upisano je 7. marta 2008. godine u sudski registar broj 1-11785-00, na osnovu Rješenja Osnovnog suda u Banjaluci broj 071-0-Reg-08-000355.</w:t>
      </w:r>
    </w:p>
    <w:p w14:paraId="221B824C" w14:textId="228BC0A8" w:rsidR="00453CC6" w:rsidRPr="008775D5" w:rsidRDefault="00453CC6" w:rsidP="00453CC6">
      <w:pPr>
        <w:spacing w:line="240" w:lineRule="auto"/>
        <w:jc w:val="both"/>
        <w:rPr>
          <w:rFonts w:ascii="Cambria" w:hAnsi="Cambria" w:cs="Times New Roman"/>
          <w:sz w:val="24"/>
          <w:szCs w:val="24"/>
        </w:rPr>
      </w:pPr>
      <w:r w:rsidRPr="008775D5">
        <w:rPr>
          <w:rFonts w:ascii="Cambria" w:hAnsi="Cambria" w:cs="Times New Roman"/>
          <w:sz w:val="24"/>
          <w:szCs w:val="24"/>
        </w:rPr>
        <w:t xml:space="preserve">Skraćeni naziv Društva : „POLARA INVEST“ a.d. Banja Luka </w:t>
      </w:r>
    </w:p>
    <w:p w14:paraId="1C9F35B7" w14:textId="42C0A570" w:rsidR="00453CC6" w:rsidRPr="008775D5" w:rsidRDefault="00453CC6" w:rsidP="00453CC6">
      <w:pPr>
        <w:spacing w:line="240" w:lineRule="auto"/>
        <w:jc w:val="both"/>
        <w:rPr>
          <w:rFonts w:ascii="Cambria" w:hAnsi="Cambria" w:cs="Times New Roman"/>
          <w:sz w:val="24"/>
          <w:szCs w:val="24"/>
        </w:rPr>
      </w:pPr>
      <w:r w:rsidRPr="008775D5">
        <w:rPr>
          <w:rFonts w:ascii="Cambria" w:hAnsi="Cambria" w:cs="Times New Roman"/>
          <w:sz w:val="24"/>
          <w:szCs w:val="24"/>
        </w:rPr>
        <w:t xml:space="preserve">Sjedište Društva: Petra Preradovića 21, Banja Luka </w:t>
      </w:r>
    </w:p>
    <w:p w14:paraId="16E14C4A" w14:textId="77777777" w:rsidR="00453CC6" w:rsidRPr="008775D5" w:rsidRDefault="00453CC6" w:rsidP="00453CC6">
      <w:pPr>
        <w:spacing w:line="240" w:lineRule="auto"/>
        <w:jc w:val="both"/>
        <w:rPr>
          <w:rFonts w:ascii="Cambria" w:hAnsi="Cambria" w:cs="Times New Roman"/>
          <w:sz w:val="24"/>
          <w:szCs w:val="24"/>
        </w:rPr>
      </w:pPr>
      <w:r w:rsidRPr="008775D5">
        <w:rPr>
          <w:rFonts w:ascii="Cambria" w:hAnsi="Cambria" w:cs="Times New Roman"/>
          <w:sz w:val="24"/>
          <w:szCs w:val="24"/>
        </w:rPr>
        <w:t>Maticni broj Društva: 1937006</w:t>
      </w:r>
    </w:p>
    <w:p w14:paraId="7D060EB5" w14:textId="666ABA6E" w:rsidR="00453CC6" w:rsidRPr="008775D5" w:rsidRDefault="00453CC6" w:rsidP="00453CC6">
      <w:pPr>
        <w:spacing w:line="240" w:lineRule="auto"/>
        <w:jc w:val="both"/>
        <w:rPr>
          <w:rFonts w:ascii="Cambria" w:hAnsi="Cambria" w:cs="Times New Roman"/>
          <w:sz w:val="24"/>
          <w:szCs w:val="24"/>
        </w:rPr>
      </w:pPr>
      <w:r w:rsidRPr="008775D5">
        <w:rPr>
          <w:rFonts w:ascii="Cambria" w:hAnsi="Cambria" w:cs="Times New Roman"/>
          <w:sz w:val="24"/>
          <w:szCs w:val="24"/>
        </w:rPr>
        <w:t>Šifra i naziv djelatnosti: 66.30 - djelatnosti upravljanja fondovima</w:t>
      </w:r>
    </w:p>
    <w:p w14:paraId="01E304D7" w14:textId="277F0027" w:rsidR="00453CC6" w:rsidRPr="008775D5" w:rsidRDefault="00453CC6" w:rsidP="00453CC6">
      <w:pPr>
        <w:spacing w:line="240" w:lineRule="auto"/>
        <w:jc w:val="both"/>
        <w:rPr>
          <w:rFonts w:ascii="Cambria" w:hAnsi="Cambria" w:cs="Times New Roman"/>
          <w:sz w:val="24"/>
          <w:szCs w:val="24"/>
        </w:rPr>
      </w:pPr>
      <w:r w:rsidRPr="008775D5">
        <w:rPr>
          <w:rFonts w:ascii="Cambria" w:hAnsi="Cambria" w:cs="Times New Roman"/>
          <w:sz w:val="24"/>
          <w:szCs w:val="24"/>
        </w:rPr>
        <w:t>Osnovna djelatnost Društva je osnivanje i upravljanje investicionim fondovima, odnosno ulaganje novčanih sredstava u ime i za račun akcionara otvorenih investicionih fondova, te obavljanje drugih poslova odredenih zakonom koji uređuje društva za upravljanje i investicione fondove.</w:t>
      </w:r>
    </w:p>
    <w:p w14:paraId="0914C94E" w14:textId="4E35AB1D" w:rsidR="00453CC6" w:rsidRPr="008775D5" w:rsidRDefault="00453CC6" w:rsidP="00453CC6">
      <w:pPr>
        <w:spacing w:line="240" w:lineRule="auto"/>
        <w:jc w:val="both"/>
        <w:rPr>
          <w:rFonts w:ascii="Cambria" w:hAnsi="Cambria" w:cs="Times New Roman"/>
          <w:sz w:val="24"/>
          <w:szCs w:val="24"/>
        </w:rPr>
      </w:pPr>
      <w:r w:rsidRPr="008775D5">
        <w:rPr>
          <w:rFonts w:ascii="Cambria" w:hAnsi="Cambria" w:cs="Times New Roman"/>
          <w:sz w:val="24"/>
          <w:szCs w:val="24"/>
        </w:rPr>
        <w:t>Promjena upisa u sudski registar Okružnog privrednog suda u Banjaluci izvršena je 17.07.2015. godine, upisom smanjenja osnovnog kapitala poništenjem sopstvenih akcija. Društvo je povećanje osnovnog kapitala izvršilo pretvaranjem zakonskih rezervi i neraspoređene dobiti što je registrovano kod Okružnog privrednog suda u Banjaluci Rješenjem broj 057-0-Reg-16-000621 od 07.09.2016.godine. Ukupna vrijednost kapitala Društva, na dan 31.12.2022. godine, iznosi 6</w:t>
      </w:r>
      <w:r w:rsidR="007B5B25" w:rsidRPr="008775D5">
        <w:rPr>
          <w:rFonts w:ascii="Cambria" w:hAnsi="Cambria" w:cs="Times New Roman"/>
          <w:sz w:val="24"/>
          <w:szCs w:val="24"/>
        </w:rPr>
        <w:t>49.394</w:t>
      </w:r>
      <w:r w:rsidRPr="008775D5">
        <w:rPr>
          <w:rFonts w:ascii="Cambria" w:hAnsi="Cambria" w:cs="Times New Roman"/>
          <w:sz w:val="24"/>
          <w:szCs w:val="24"/>
        </w:rPr>
        <w:t xml:space="preserve"> KM, a struktura kapitala ima sledeći pregled:</w:t>
      </w:r>
    </w:p>
    <w:p w14:paraId="7D7B5F38" w14:textId="77777777" w:rsidR="00453CC6" w:rsidRPr="008775D5" w:rsidRDefault="00453CC6" w:rsidP="00453CC6">
      <w:pPr>
        <w:pStyle w:val="ListParagraph"/>
        <w:numPr>
          <w:ilvl w:val="0"/>
          <w:numId w:val="2"/>
        </w:numPr>
        <w:spacing w:line="240" w:lineRule="auto"/>
        <w:jc w:val="both"/>
        <w:rPr>
          <w:rFonts w:ascii="Cambria" w:hAnsi="Cambria" w:cs="Times New Roman"/>
          <w:sz w:val="24"/>
          <w:szCs w:val="24"/>
        </w:rPr>
      </w:pPr>
      <w:bookmarkStart w:id="0" w:name="_Hlk127445171"/>
      <w:r w:rsidRPr="008775D5">
        <w:rPr>
          <w:rFonts w:ascii="Cambria" w:hAnsi="Cambria" w:cs="Times New Roman"/>
          <w:sz w:val="24"/>
          <w:szCs w:val="24"/>
        </w:rPr>
        <w:t>Akcijski kapital 253.000 KM, (506 akcija nominalne vrijednosti 500 KM).</w:t>
      </w:r>
    </w:p>
    <w:p w14:paraId="0100D5CB" w14:textId="77777777" w:rsidR="00453CC6" w:rsidRPr="008775D5" w:rsidRDefault="00453CC6" w:rsidP="00453CC6">
      <w:pPr>
        <w:pStyle w:val="ListParagraph"/>
        <w:numPr>
          <w:ilvl w:val="0"/>
          <w:numId w:val="2"/>
        </w:numPr>
        <w:spacing w:line="240" w:lineRule="auto"/>
        <w:jc w:val="both"/>
        <w:rPr>
          <w:rFonts w:ascii="Cambria" w:hAnsi="Cambria" w:cs="Times New Roman"/>
          <w:sz w:val="24"/>
          <w:szCs w:val="24"/>
        </w:rPr>
      </w:pPr>
      <w:r w:rsidRPr="008775D5">
        <w:rPr>
          <w:rFonts w:ascii="Cambria" w:hAnsi="Cambria" w:cs="Times New Roman"/>
          <w:sz w:val="24"/>
          <w:szCs w:val="24"/>
        </w:rPr>
        <w:t>Zakonske rezerve 25 300 KM</w:t>
      </w:r>
    </w:p>
    <w:p w14:paraId="18167656" w14:textId="1896CB2E" w:rsidR="00453CC6" w:rsidRPr="008775D5" w:rsidRDefault="00453CC6" w:rsidP="00453CC6">
      <w:pPr>
        <w:pStyle w:val="ListParagraph"/>
        <w:numPr>
          <w:ilvl w:val="0"/>
          <w:numId w:val="2"/>
        </w:numPr>
        <w:spacing w:line="240" w:lineRule="auto"/>
        <w:jc w:val="both"/>
        <w:rPr>
          <w:rFonts w:ascii="Cambria" w:hAnsi="Cambria" w:cs="Times New Roman"/>
          <w:sz w:val="24"/>
          <w:szCs w:val="24"/>
        </w:rPr>
      </w:pPr>
      <w:r w:rsidRPr="008775D5">
        <w:rPr>
          <w:rFonts w:ascii="Cambria" w:hAnsi="Cambria" w:cs="Times New Roman"/>
          <w:sz w:val="24"/>
          <w:szCs w:val="24"/>
        </w:rPr>
        <w:t xml:space="preserve">Nerealizovani dobitci/gubitci (HOV Europlantaže d.d. Hrvatska, ) </w:t>
      </w:r>
      <w:r w:rsidR="0028156F" w:rsidRPr="00E64629">
        <w:rPr>
          <w:rFonts w:ascii="Cambria" w:hAnsi="Cambria" w:cs="Times New Roman"/>
          <w:sz w:val="24"/>
          <w:szCs w:val="24"/>
        </w:rPr>
        <w:t>11.</w:t>
      </w:r>
      <w:r w:rsidR="00E64629" w:rsidRPr="00E64629">
        <w:rPr>
          <w:rFonts w:ascii="Cambria" w:hAnsi="Cambria" w:cs="Times New Roman"/>
          <w:sz w:val="24"/>
          <w:szCs w:val="24"/>
        </w:rPr>
        <w:t>746</w:t>
      </w:r>
      <w:r w:rsidRPr="008775D5">
        <w:rPr>
          <w:rFonts w:ascii="Cambria" w:hAnsi="Cambria" w:cs="Times New Roman"/>
          <w:sz w:val="24"/>
          <w:szCs w:val="24"/>
        </w:rPr>
        <w:t xml:space="preserve"> KM</w:t>
      </w:r>
    </w:p>
    <w:p w14:paraId="30C66D74" w14:textId="7C1879D2" w:rsidR="00453CC6" w:rsidRPr="008775D5" w:rsidRDefault="00453CC6" w:rsidP="00453CC6">
      <w:pPr>
        <w:pStyle w:val="ListParagraph"/>
        <w:numPr>
          <w:ilvl w:val="0"/>
          <w:numId w:val="2"/>
        </w:numPr>
        <w:spacing w:line="240" w:lineRule="auto"/>
        <w:jc w:val="both"/>
        <w:rPr>
          <w:rFonts w:ascii="Cambria" w:hAnsi="Cambria" w:cs="Times New Roman"/>
          <w:sz w:val="24"/>
          <w:szCs w:val="24"/>
        </w:rPr>
      </w:pPr>
      <w:r w:rsidRPr="008775D5">
        <w:rPr>
          <w:rFonts w:ascii="Cambria" w:hAnsi="Cambria" w:cs="Times New Roman"/>
          <w:sz w:val="24"/>
          <w:szCs w:val="24"/>
        </w:rPr>
        <w:t xml:space="preserve">Neraspoređena dobit ranijih godina </w:t>
      </w:r>
      <w:r w:rsidR="00E64629">
        <w:rPr>
          <w:rFonts w:ascii="Cambria" w:hAnsi="Cambria" w:cs="Times New Roman"/>
          <w:sz w:val="24"/>
          <w:szCs w:val="24"/>
        </w:rPr>
        <w:t>361.006</w:t>
      </w:r>
      <w:r w:rsidRPr="008775D5">
        <w:rPr>
          <w:rFonts w:ascii="Cambria" w:hAnsi="Cambria" w:cs="Times New Roman"/>
          <w:sz w:val="24"/>
          <w:szCs w:val="24"/>
        </w:rPr>
        <w:t xml:space="preserve"> KM</w:t>
      </w:r>
    </w:p>
    <w:p w14:paraId="4761C090" w14:textId="36E6DD6A" w:rsidR="00453CC6" w:rsidRPr="008775D5" w:rsidRDefault="00453CC6" w:rsidP="00453CC6">
      <w:pPr>
        <w:pStyle w:val="ListParagraph"/>
        <w:numPr>
          <w:ilvl w:val="0"/>
          <w:numId w:val="2"/>
        </w:numPr>
        <w:spacing w:line="240" w:lineRule="auto"/>
        <w:jc w:val="both"/>
        <w:rPr>
          <w:rFonts w:ascii="Cambria" w:hAnsi="Cambria" w:cs="Times New Roman"/>
          <w:sz w:val="24"/>
          <w:szCs w:val="24"/>
        </w:rPr>
      </w:pPr>
      <w:r w:rsidRPr="008775D5">
        <w:rPr>
          <w:rFonts w:ascii="Cambria" w:hAnsi="Cambria" w:cs="Times New Roman"/>
          <w:sz w:val="24"/>
          <w:szCs w:val="24"/>
        </w:rPr>
        <w:t xml:space="preserve">Dobit tekućeg perioda </w:t>
      </w:r>
      <w:r w:rsidR="00E64629">
        <w:rPr>
          <w:rFonts w:ascii="Cambria" w:hAnsi="Cambria" w:cs="Times New Roman"/>
          <w:sz w:val="24"/>
          <w:szCs w:val="24"/>
        </w:rPr>
        <w:t>10.228</w:t>
      </w:r>
      <w:r w:rsidRPr="008775D5">
        <w:rPr>
          <w:rFonts w:ascii="Cambria" w:hAnsi="Cambria" w:cs="Times New Roman"/>
          <w:sz w:val="24"/>
          <w:szCs w:val="24"/>
        </w:rPr>
        <w:t xml:space="preserve"> KM</w:t>
      </w:r>
    </w:p>
    <w:bookmarkEnd w:id="0"/>
    <w:p w14:paraId="7FD23F94" w14:textId="0869D7D3" w:rsidR="00007953" w:rsidRPr="008775D5" w:rsidRDefault="00007953" w:rsidP="008775D5">
      <w:pPr>
        <w:jc w:val="both"/>
        <w:rPr>
          <w:rFonts w:ascii="Cambria" w:hAnsi="Cambria" w:cs="Times New Roman"/>
          <w:color w:val="000000"/>
          <w:sz w:val="24"/>
          <w:szCs w:val="24"/>
          <w:lang w:val="sr-Latn-CS"/>
        </w:rPr>
      </w:pPr>
      <w:r w:rsidRPr="008775D5">
        <w:rPr>
          <w:rFonts w:ascii="Cambria" w:hAnsi="Cambria" w:cs="Times New Roman"/>
          <w:color w:val="000000"/>
          <w:sz w:val="24"/>
          <w:szCs w:val="24"/>
          <w:lang w:val="sr-Latn-CS"/>
        </w:rPr>
        <w:t>Posljednja promjena upisa u sudski registar Okružnog privrednog suda u Banjaluci izvršena je 20.12.2021. godine upisom promjene lica ovlašćenog za zastupanje</w:t>
      </w:r>
      <w:r w:rsidR="0083243E">
        <w:rPr>
          <w:rFonts w:ascii="Cambria" w:hAnsi="Cambria" w:cs="Times New Roman"/>
          <w:color w:val="000000"/>
          <w:sz w:val="24"/>
          <w:szCs w:val="24"/>
          <w:lang w:val="sr-Latn-CS"/>
        </w:rPr>
        <w:t xml:space="preserve">, </w:t>
      </w:r>
      <w:r w:rsidRPr="008775D5">
        <w:rPr>
          <w:rFonts w:ascii="Cambria" w:hAnsi="Cambria" w:cs="Times New Roman"/>
          <w:color w:val="000000"/>
          <w:sz w:val="24"/>
          <w:szCs w:val="24"/>
          <w:lang w:val="sr-Latn-CS"/>
        </w:rPr>
        <w:t>izvršnog direktora</w:t>
      </w:r>
      <w:r w:rsidR="0083243E">
        <w:rPr>
          <w:rFonts w:ascii="Cambria" w:hAnsi="Cambria" w:cs="Times New Roman"/>
          <w:color w:val="000000"/>
          <w:sz w:val="24"/>
          <w:szCs w:val="24"/>
          <w:lang w:val="sr-Latn-CS"/>
        </w:rPr>
        <w:t xml:space="preserve"> - </w:t>
      </w:r>
      <w:r w:rsidRPr="008775D5">
        <w:rPr>
          <w:rFonts w:ascii="Cambria" w:hAnsi="Cambria" w:cs="Times New Roman"/>
          <w:color w:val="000000"/>
          <w:sz w:val="24"/>
          <w:szCs w:val="24"/>
          <w:lang w:val="sr-Latn-CS"/>
        </w:rPr>
        <w:t xml:space="preserve">Pero Jandrić. </w:t>
      </w:r>
    </w:p>
    <w:p w14:paraId="42DC6742" w14:textId="77777777" w:rsidR="00007953" w:rsidRPr="008775D5" w:rsidRDefault="00007953" w:rsidP="0083243E">
      <w:pPr>
        <w:jc w:val="both"/>
        <w:rPr>
          <w:rFonts w:ascii="Cambria" w:hAnsi="Cambria" w:cs="Times New Roman"/>
          <w:color w:val="000000"/>
          <w:sz w:val="24"/>
          <w:szCs w:val="24"/>
          <w:lang w:val="sr-Latn-CS"/>
        </w:rPr>
      </w:pPr>
      <w:r w:rsidRPr="008775D5">
        <w:rPr>
          <w:rFonts w:ascii="Cambria" w:hAnsi="Cambria" w:cs="Times New Roman"/>
          <w:color w:val="000000"/>
          <w:sz w:val="24"/>
          <w:szCs w:val="24"/>
          <w:lang w:val="sr-Latn-CS"/>
        </w:rPr>
        <w:t xml:space="preserve">Akcije Društva glase na ime. Društvo je osnovano na neodredeno vrijeme. </w:t>
      </w:r>
    </w:p>
    <w:p w14:paraId="46F58424" w14:textId="3FDE0115" w:rsidR="00007953" w:rsidRPr="008775D5" w:rsidRDefault="00007953" w:rsidP="0083243E">
      <w:pPr>
        <w:jc w:val="both"/>
        <w:rPr>
          <w:rFonts w:ascii="Cambria" w:hAnsi="Cambria" w:cs="Times New Roman"/>
          <w:color w:val="000000"/>
          <w:sz w:val="24"/>
          <w:szCs w:val="24"/>
          <w:lang w:val="sr-Latn-CS"/>
        </w:rPr>
      </w:pPr>
      <w:r w:rsidRPr="008775D5">
        <w:rPr>
          <w:rFonts w:ascii="Cambria" w:hAnsi="Cambria" w:cs="Times New Roman"/>
          <w:color w:val="000000"/>
          <w:sz w:val="24"/>
          <w:szCs w:val="24"/>
          <w:lang w:val="sr-Latn-CS"/>
        </w:rPr>
        <w:lastRenderedPageBreak/>
        <w:t>Organi Društva su: skupština akcionara, upravni odbor i dva izvršna direktora. Članovi Upravnog odbora Društva su:</w:t>
      </w:r>
    </w:p>
    <w:p w14:paraId="53DB3B02" w14:textId="77777777" w:rsidR="00007953" w:rsidRPr="008775D5" w:rsidRDefault="00007953" w:rsidP="0083243E">
      <w:pPr>
        <w:jc w:val="both"/>
        <w:rPr>
          <w:rFonts w:ascii="Cambria" w:hAnsi="Cambria" w:cs="Times New Roman"/>
          <w:color w:val="000000"/>
          <w:sz w:val="24"/>
          <w:szCs w:val="24"/>
          <w:lang w:val="sr-Latn-CS"/>
        </w:rPr>
      </w:pPr>
      <w:r w:rsidRPr="008775D5">
        <w:rPr>
          <w:rFonts w:ascii="Cambria" w:hAnsi="Cambria" w:cs="Times New Roman"/>
          <w:color w:val="000000"/>
          <w:sz w:val="24"/>
          <w:szCs w:val="24"/>
          <w:lang w:val="sr-Latn-CS"/>
        </w:rPr>
        <w:t>1. Sergij Furlan</w:t>
      </w:r>
    </w:p>
    <w:p w14:paraId="1C73A514" w14:textId="77777777" w:rsidR="00007953" w:rsidRPr="008775D5" w:rsidRDefault="00007953" w:rsidP="0083243E">
      <w:pPr>
        <w:jc w:val="both"/>
        <w:rPr>
          <w:rFonts w:ascii="Cambria" w:hAnsi="Cambria" w:cs="Times New Roman"/>
          <w:color w:val="000000"/>
          <w:sz w:val="24"/>
          <w:szCs w:val="24"/>
          <w:lang w:val="sr-Latn-CS"/>
        </w:rPr>
      </w:pPr>
      <w:r w:rsidRPr="008775D5">
        <w:rPr>
          <w:rFonts w:ascii="Cambria" w:hAnsi="Cambria" w:cs="Times New Roman"/>
          <w:color w:val="000000"/>
          <w:sz w:val="24"/>
          <w:szCs w:val="24"/>
          <w:lang w:val="sr-Latn-CS"/>
        </w:rPr>
        <w:t xml:space="preserve">2. Stanislav Furlan i </w:t>
      </w:r>
    </w:p>
    <w:p w14:paraId="1B90B294" w14:textId="77777777" w:rsidR="00007953" w:rsidRPr="008775D5" w:rsidRDefault="00007953" w:rsidP="0083243E">
      <w:pPr>
        <w:jc w:val="both"/>
        <w:rPr>
          <w:rFonts w:ascii="Cambria" w:hAnsi="Cambria" w:cs="Times New Roman"/>
          <w:color w:val="000000"/>
          <w:sz w:val="24"/>
          <w:szCs w:val="24"/>
          <w:lang w:val="sr-Latn-CS"/>
        </w:rPr>
      </w:pPr>
      <w:r w:rsidRPr="008775D5">
        <w:rPr>
          <w:rFonts w:ascii="Cambria" w:hAnsi="Cambria" w:cs="Times New Roman"/>
          <w:color w:val="000000"/>
          <w:sz w:val="24"/>
          <w:szCs w:val="24"/>
          <w:lang w:val="sr-Latn-CS"/>
        </w:rPr>
        <w:t>3. Davor Maksimović</w:t>
      </w:r>
    </w:p>
    <w:p w14:paraId="3A166587" w14:textId="77777777" w:rsidR="00A6703C" w:rsidRPr="008775D5" w:rsidRDefault="00007953" w:rsidP="0083243E">
      <w:pPr>
        <w:jc w:val="both"/>
        <w:rPr>
          <w:rFonts w:ascii="Cambria" w:hAnsi="Cambria" w:cs="Times New Roman"/>
          <w:color w:val="000000"/>
          <w:sz w:val="24"/>
          <w:szCs w:val="24"/>
          <w:lang w:val="sr-Latn-CS"/>
        </w:rPr>
      </w:pPr>
      <w:r w:rsidRPr="008775D5">
        <w:rPr>
          <w:rFonts w:ascii="Cambria" w:hAnsi="Cambria" w:cs="Times New Roman"/>
          <w:color w:val="000000"/>
          <w:sz w:val="24"/>
          <w:szCs w:val="24"/>
          <w:lang w:val="sr-Latn-CS"/>
        </w:rPr>
        <w:t>Izvršni  direktori Društva su Vladan Jović i Pero Jandrić</w:t>
      </w:r>
      <w:r w:rsidR="00A6703C" w:rsidRPr="008775D5">
        <w:rPr>
          <w:rFonts w:ascii="Cambria" w:hAnsi="Cambria" w:cs="Times New Roman"/>
          <w:color w:val="000000"/>
          <w:sz w:val="24"/>
          <w:szCs w:val="24"/>
          <w:lang w:val="sr-Latn-CS"/>
        </w:rPr>
        <w:t>.</w:t>
      </w:r>
    </w:p>
    <w:p w14:paraId="6E804967" w14:textId="3A6E8794" w:rsidR="00007953" w:rsidRPr="008775D5" w:rsidRDefault="00007953" w:rsidP="0083243E">
      <w:pPr>
        <w:jc w:val="both"/>
        <w:rPr>
          <w:rFonts w:ascii="Cambria" w:hAnsi="Cambria" w:cs="Times New Roman"/>
          <w:color w:val="000000"/>
          <w:sz w:val="24"/>
          <w:szCs w:val="24"/>
          <w:lang w:val="sr-Latn-CS"/>
        </w:rPr>
      </w:pPr>
      <w:r w:rsidRPr="008775D5">
        <w:rPr>
          <w:rFonts w:ascii="Cambria" w:hAnsi="Cambria" w:cs="Times New Roman"/>
          <w:color w:val="000000"/>
          <w:sz w:val="24"/>
          <w:szCs w:val="24"/>
          <w:lang w:val="sr-Latn-CS"/>
        </w:rPr>
        <w:t xml:space="preserve"> U 202</w:t>
      </w:r>
      <w:r w:rsidR="00E64629">
        <w:rPr>
          <w:rFonts w:ascii="Cambria" w:hAnsi="Cambria" w:cs="Times New Roman"/>
          <w:color w:val="000000"/>
          <w:sz w:val="24"/>
          <w:szCs w:val="24"/>
          <w:lang w:val="sr-Latn-CS"/>
        </w:rPr>
        <w:t>3</w:t>
      </w:r>
      <w:r w:rsidRPr="008775D5">
        <w:rPr>
          <w:rFonts w:ascii="Cambria" w:hAnsi="Cambria" w:cs="Times New Roman"/>
          <w:color w:val="000000"/>
          <w:sz w:val="24"/>
          <w:szCs w:val="24"/>
          <w:lang w:val="sr-Latn-CS"/>
        </w:rPr>
        <w:t xml:space="preserve">. godini Društvo je imalo prosječno </w:t>
      </w:r>
      <w:r w:rsidR="00E64629">
        <w:rPr>
          <w:rFonts w:ascii="Cambria" w:hAnsi="Cambria" w:cs="Times New Roman"/>
          <w:color w:val="000000"/>
          <w:sz w:val="24"/>
          <w:szCs w:val="24"/>
          <w:lang w:val="sr-Latn-CS"/>
        </w:rPr>
        <w:t>6</w:t>
      </w:r>
      <w:r w:rsidRPr="008775D5">
        <w:rPr>
          <w:rFonts w:ascii="Cambria" w:hAnsi="Cambria" w:cs="Times New Roman"/>
          <w:color w:val="000000"/>
          <w:sz w:val="24"/>
          <w:szCs w:val="24"/>
          <w:lang w:val="sr-Latn-CS"/>
        </w:rPr>
        <w:t xml:space="preserve"> zaposlenih.</w:t>
      </w:r>
    </w:p>
    <w:p w14:paraId="4A8CE675" w14:textId="4909D3C5" w:rsidR="00007953" w:rsidRDefault="00007953" w:rsidP="0083243E">
      <w:pPr>
        <w:jc w:val="both"/>
        <w:rPr>
          <w:rFonts w:ascii="Cambria" w:hAnsi="Cambria" w:cs="Times New Roman"/>
          <w:color w:val="000000"/>
          <w:sz w:val="24"/>
          <w:szCs w:val="24"/>
          <w:lang w:val="sr-Latn-CS"/>
        </w:rPr>
      </w:pPr>
      <w:r w:rsidRPr="008775D5">
        <w:rPr>
          <w:rFonts w:ascii="Cambria" w:hAnsi="Cambria" w:cs="Times New Roman"/>
          <w:color w:val="000000"/>
          <w:sz w:val="24"/>
          <w:szCs w:val="24"/>
          <w:lang w:val="sr-Latn-CS"/>
        </w:rPr>
        <w:t>09.09.2022. god. izvršeno je s</w:t>
      </w:r>
      <w:r w:rsidR="0020379F">
        <w:rPr>
          <w:rFonts w:ascii="Cambria" w:hAnsi="Cambria" w:cs="Times New Roman"/>
          <w:color w:val="000000"/>
          <w:sz w:val="24"/>
          <w:szCs w:val="24"/>
          <w:lang w:val="sr-Latn-CS"/>
        </w:rPr>
        <w:t>36</w:t>
      </w:r>
      <w:r w:rsidRPr="008775D5">
        <w:rPr>
          <w:rFonts w:ascii="Cambria" w:hAnsi="Cambria" w:cs="Times New Roman"/>
          <w:color w:val="000000"/>
          <w:sz w:val="24"/>
          <w:szCs w:val="24"/>
          <w:lang w:val="sr-Latn-CS"/>
        </w:rPr>
        <w:t xml:space="preserve">pajanje OAIF Polara Adriatic Fond (Rješ. KHOV br. 01-UP-51-322-7/22 od 05.07.2022.g.), OMIF Privrednik Invest (Rješ. KHOV br. 01- UP-51-322-5/22 od 05.07.2022.g.), </w:t>
      </w:r>
      <w:r w:rsidR="0083243E">
        <w:rPr>
          <w:rFonts w:ascii="Cambria" w:hAnsi="Cambria" w:cs="Times New Roman"/>
          <w:color w:val="000000"/>
          <w:sz w:val="24"/>
          <w:szCs w:val="24"/>
          <w:lang w:val="sr-Latn-CS"/>
        </w:rPr>
        <w:t>na način</w:t>
      </w:r>
      <w:r w:rsidRPr="008775D5">
        <w:rPr>
          <w:rFonts w:ascii="Cambria" w:hAnsi="Cambria" w:cs="Times New Roman"/>
          <w:color w:val="000000"/>
          <w:sz w:val="24"/>
          <w:szCs w:val="24"/>
          <w:lang w:val="sr-Latn-CS"/>
        </w:rPr>
        <w:t xml:space="preserve"> da </w:t>
      </w:r>
      <w:r w:rsidR="0083243E">
        <w:rPr>
          <w:rFonts w:ascii="Cambria" w:hAnsi="Cambria" w:cs="Times New Roman"/>
          <w:color w:val="000000"/>
          <w:sz w:val="24"/>
          <w:szCs w:val="24"/>
          <w:lang w:val="sr-Latn-CS"/>
        </w:rPr>
        <w:t>su</w:t>
      </w:r>
      <w:r w:rsidRPr="008775D5">
        <w:rPr>
          <w:rFonts w:ascii="Cambria" w:hAnsi="Cambria" w:cs="Times New Roman"/>
          <w:color w:val="000000"/>
          <w:sz w:val="24"/>
          <w:szCs w:val="24"/>
          <w:lang w:val="sr-Latn-CS"/>
        </w:rPr>
        <w:t xml:space="preserve"> cjelokupna imovina i obaveze navedenih fondova pren</w:t>
      </w:r>
      <w:r w:rsidR="0083243E">
        <w:rPr>
          <w:rFonts w:ascii="Cambria" w:hAnsi="Cambria" w:cs="Times New Roman"/>
          <w:color w:val="000000"/>
          <w:sz w:val="24"/>
          <w:szCs w:val="24"/>
          <w:lang w:val="sr-Latn-CS"/>
        </w:rPr>
        <w:t>ešene</w:t>
      </w:r>
      <w:r w:rsidRPr="008775D5">
        <w:rPr>
          <w:rFonts w:ascii="Cambria" w:hAnsi="Cambria" w:cs="Times New Roman"/>
          <w:color w:val="000000"/>
          <w:sz w:val="24"/>
          <w:szCs w:val="24"/>
          <w:lang w:val="sr-Latn-CS"/>
        </w:rPr>
        <w:t xml:space="preserve"> na OAIF Jahorina Koin. Fondovi OAIF Polara Adriatic Fond i  OMIF Privrednik Invest </w:t>
      </w:r>
      <w:r w:rsidR="0083243E">
        <w:rPr>
          <w:rFonts w:ascii="Cambria" w:hAnsi="Cambria" w:cs="Times New Roman"/>
          <w:color w:val="000000"/>
          <w:sz w:val="24"/>
          <w:szCs w:val="24"/>
          <w:lang w:val="sr-Latn-CS"/>
        </w:rPr>
        <w:t>su prestali</w:t>
      </w:r>
      <w:r w:rsidRPr="008775D5">
        <w:rPr>
          <w:rFonts w:ascii="Cambria" w:hAnsi="Cambria" w:cs="Times New Roman"/>
          <w:color w:val="000000"/>
          <w:sz w:val="24"/>
          <w:szCs w:val="24"/>
          <w:lang w:val="sr-Latn-CS"/>
        </w:rPr>
        <w:t xml:space="preserve"> da postoje </w:t>
      </w:r>
      <w:r w:rsidR="0083243E">
        <w:rPr>
          <w:rFonts w:ascii="Cambria" w:hAnsi="Cambria" w:cs="Times New Roman"/>
          <w:color w:val="000000"/>
          <w:sz w:val="24"/>
          <w:szCs w:val="24"/>
          <w:lang w:val="sr-Latn-CS"/>
        </w:rPr>
        <w:t>navedenim danom spajanja</w:t>
      </w:r>
      <w:r w:rsidRPr="008775D5">
        <w:rPr>
          <w:rFonts w:ascii="Cambria" w:hAnsi="Cambria" w:cs="Times New Roman"/>
          <w:color w:val="000000"/>
          <w:sz w:val="24"/>
          <w:szCs w:val="24"/>
          <w:lang w:val="sr-Latn-CS"/>
        </w:rPr>
        <w:t>.</w:t>
      </w:r>
    </w:p>
    <w:p w14:paraId="2EFA13F3" w14:textId="77777777" w:rsidR="0083243E" w:rsidRPr="008775D5" w:rsidRDefault="0083243E" w:rsidP="0083243E">
      <w:pPr>
        <w:spacing w:after="120"/>
        <w:jc w:val="both"/>
        <w:rPr>
          <w:rFonts w:ascii="Cambria" w:hAnsi="Cambria" w:cs="Times New Roman"/>
          <w:color w:val="000000"/>
          <w:sz w:val="24"/>
          <w:szCs w:val="24"/>
          <w:lang w:val="sr-Latn-CS"/>
        </w:rPr>
      </w:pPr>
    </w:p>
    <w:p w14:paraId="6E30EF03" w14:textId="1402F7AC" w:rsidR="003745D5" w:rsidRPr="008775D5" w:rsidRDefault="003745D5" w:rsidP="0083243E">
      <w:pPr>
        <w:pStyle w:val="ListParagraph"/>
        <w:numPr>
          <w:ilvl w:val="0"/>
          <w:numId w:val="4"/>
        </w:numPr>
        <w:ind w:left="426" w:hanging="426"/>
        <w:rPr>
          <w:rFonts w:ascii="Cambria" w:hAnsi="Cambria" w:cs="Times New Roman"/>
          <w:b/>
          <w:sz w:val="24"/>
          <w:szCs w:val="24"/>
        </w:rPr>
      </w:pPr>
      <w:r w:rsidRPr="008775D5">
        <w:rPr>
          <w:rFonts w:ascii="Cambria" w:hAnsi="Cambria" w:cs="Times New Roman"/>
          <w:b/>
          <w:sz w:val="24"/>
          <w:szCs w:val="24"/>
        </w:rPr>
        <w:t>OSN</w:t>
      </w:r>
      <w:r w:rsidR="00007953" w:rsidRPr="008775D5">
        <w:rPr>
          <w:rFonts w:ascii="Cambria" w:hAnsi="Cambria" w:cs="Times New Roman"/>
          <w:b/>
          <w:sz w:val="24"/>
          <w:szCs w:val="24"/>
        </w:rPr>
        <w:t>OVE ZA PREZENTACIJU FINANSIJSKIH IZVJEŠTAJA</w:t>
      </w:r>
    </w:p>
    <w:p w14:paraId="50E43F00" w14:textId="77777777" w:rsidR="00317647" w:rsidRPr="008775D5" w:rsidRDefault="00317647" w:rsidP="00317647">
      <w:pPr>
        <w:pStyle w:val="ListParagraph"/>
        <w:rPr>
          <w:rFonts w:ascii="Cambria" w:hAnsi="Cambria" w:cs="Times New Roman"/>
          <w:b/>
          <w:sz w:val="24"/>
          <w:szCs w:val="24"/>
        </w:rPr>
      </w:pPr>
    </w:p>
    <w:p w14:paraId="10029783" w14:textId="2CA22223" w:rsidR="00007953" w:rsidRPr="008775D5" w:rsidRDefault="00007953" w:rsidP="0083243E">
      <w:pPr>
        <w:pStyle w:val="ListParagraph"/>
        <w:numPr>
          <w:ilvl w:val="1"/>
          <w:numId w:val="4"/>
        </w:numPr>
        <w:ind w:left="709"/>
        <w:rPr>
          <w:rFonts w:ascii="Cambria" w:hAnsi="Cambria" w:cs="Times New Roman"/>
          <w:b/>
          <w:sz w:val="24"/>
          <w:szCs w:val="24"/>
        </w:rPr>
      </w:pPr>
      <w:r w:rsidRPr="008775D5">
        <w:rPr>
          <w:rFonts w:ascii="Cambria" w:hAnsi="Cambria" w:cs="Times New Roman"/>
          <w:b/>
          <w:sz w:val="24"/>
          <w:szCs w:val="24"/>
        </w:rPr>
        <w:t>Izjava o usaglašenosti</w:t>
      </w:r>
    </w:p>
    <w:p w14:paraId="5C7B7188" w14:textId="45E1BC3D" w:rsidR="00007953" w:rsidRPr="008775D5" w:rsidRDefault="00007953" w:rsidP="0083243E">
      <w:pPr>
        <w:jc w:val="both"/>
        <w:rPr>
          <w:rFonts w:ascii="Cambria" w:hAnsi="Cambria" w:cs="Times New Roman"/>
          <w:bCs/>
          <w:sz w:val="24"/>
          <w:szCs w:val="24"/>
        </w:rPr>
      </w:pPr>
      <w:r w:rsidRPr="008775D5">
        <w:rPr>
          <w:rFonts w:ascii="Cambria" w:hAnsi="Cambria" w:cs="Times New Roman"/>
          <w:bCs/>
          <w:sz w:val="24"/>
          <w:szCs w:val="24"/>
        </w:rPr>
        <w:t xml:space="preserve">Priloženi finansijski izvještaji predstavljaju finansijske izveštaje DUIF „POLARA INVEST“ a.d. Banja Luka i sastavljeni u skladu sa </w:t>
      </w:r>
      <w:r w:rsidR="003A29AC" w:rsidRPr="008775D5">
        <w:rPr>
          <w:rFonts w:ascii="Cambria" w:hAnsi="Cambria" w:cs="Times New Roman"/>
          <w:bCs/>
          <w:sz w:val="24"/>
          <w:szCs w:val="24"/>
        </w:rPr>
        <w:t xml:space="preserve">Zakonom o računovodstvu i reviziji Republike Srpske i drugim računovodstvenim propisima i profesionalnom rebulativom kaja se primjenjuje u </w:t>
      </w:r>
      <w:r w:rsidR="00317647" w:rsidRPr="008775D5">
        <w:rPr>
          <w:rFonts w:ascii="Cambria" w:hAnsi="Cambria" w:cs="Times New Roman"/>
          <w:bCs/>
          <w:sz w:val="24"/>
          <w:szCs w:val="24"/>
        </w:rPr>
        <w:t xml:space="preserve"> Republi</w:t>
      </w:r>
      <w:r w:rsidR="003A29AC" w:rsidRPr="008775D5">
        <w:rPr>
          <w:rFonts w:ascii="Cambria" w:hAnsi="Cambria" w:cs="Times New Roman"/>
          <w:bCs/>
          <w:sz w:val="24"/>
          <w:szCs w:val="24"/>
        </w:rPr>
        <w:t>ci</w:t>
      </w:r>
      <w:r w:rsidR="00317647" w:rsidRPr="008775D5">
        <w:rPr>
          <w:rFonts w:ascii="Cambria" w:hAnsi="Cambria" w:cs="Times New Roman"/>
          <w:bCs/>
          <w:sz w:val="24"/>
          <w:szCs w:val="24"/>
        </w:rPr>
        <w:t xml:space="preserve"> Srpsk</w:t>
      </w:r>
      <w:r w:rsidR="003A29AC" w:rsidRPr="008775D5">
        <w:rPr>
          <w:rFonts w:ascii="Cambria" w:hAnsi="Cambria" w:cs="Times New Roman"/>
          <w:bCs/>
          <w:sz w:val="24"/>
          <w:szCs w:val="24"/>
        </w:rPr>
        <w:t>oj</w:t>
      </w:r>
      <w:r w:rsidR="00317647" w:rsidRPr="008775D5">
        <w:rPr>
          <w:rFonts w:ascii="Cambria" w:hAnsi="Cambria" w:cs="Times New Roman"/>
          <w:bCs/>
          <w:sz w:val="24"/>
          <w:szCs w:val="24"/>
        </w:rPr>
        <w:t>.</w:t>
      </w:r>
    </w:p>
    <w:p w14:paraId="75CEA8F7" w14:textId="7B528EB4" w:rsidR="00317647" w:rsidRPr="008775D5" w:rsidRDefault="00317647" w:rsidP="0083243E">
      <w:pPr>
        <w:pStyle w:val="ListParagraph"/>
        <w:numPr>
          <w:ilvl w:val="1"/>
          <w:numId w:val="4"/>
        </w:numPr>
        <w:ind w:left="709"/>
        <w:rPr>
          <w:rFonts w:ascii="Cambria" w:hAnsi="Cambria" w:cs="Times New Roman"/>
          <w:b/>
          <w:sz w:val="24"/>
          <w:szCs w:val="24"/>
        </w:rPr>
      </w:pPr>
      <w:r w:rsidRPr="008775D5">
        <w:rPr>
          <w:rFonts w:ascii="Cambria" w:hAnsi="Cambria" w:cs="Times New Roman"/>
          <w:b/>
          <w:sz w:val="24"/>
          <w:szCs w:val="24"/>
        </w:rPr>
        <w:t xml:space="preserve"> Osnove za prezentaciju</w:t>
      </w:r>
    </w:p>
    <w:p w14:paraId="2939810F" w14:textId="2B1BDBAC" w:rsidR="00317647" w:rsidRPr="008775D5" w:rsidRDefault="00317647" w:rsidP="0083243E">
      <w:pPr>
        <w:jc w:val="both"/>
        <w:rPr>
          <w:rFonts w:ascii="Cambria" w:hAnsi="Cambria" w:cs="Times New Roman"/>
          <w:bCs/>
          <w:sz w:val="24"/>
          <w:szCs w:val="24"/>
        </w:rPr>
      </w:pPr>
      <w:r w:rsidRPr="008775D5">
        <w:rPr>
          <w:rFonts w:ascii="Cambria" w:hAnsi="Cambria" w:cs="Times New Roman"/>
          <w:bCs/>
          <w:sz w:val="24"/>
          <w:szCs w:val="24"/>
        </w:rPr>
        <w:t>Finansijski izvještaji su sastavljeni za period koji se završava na dan 3</w:t>
      </w:r>
      <w:r w:rsidR="00E64629">
        <w:rPr>
          <w:rFonts w:ascii="Cambria" w:hAnsi="Cambria" w:cs="Times New Roman"/>
          <w:bCs/>
          <w:sz w:val="24"/>
          <w:szCs w:val="24"/>
        </w:rPr>
        <w:t>0</w:t>
      </w:r>
      <w:r w:rsidRPr="008775D5">
        <w:rPr>
          <w:rFonts w:ascii="Cambria" w:hAnsi="Cambria" w:cs="Times New Roman"/>
          <w:bCs/>
          <w:sz w:val="24"/>
          <w:szCs w:val="24"/>
        </w:rPr>
        <w:t>.</w:t>
      </w:r>
      <w:r w:rsidR="00E64629">
        <w:rPr>
          <w:rFonts w:ascii="Cambria" w:hAnsi="Cambria" w:cs="Times New Roman"/>
          <w:bCs/>
          <w:sz w:val="24"/>
          <w:szCs w:val="24"/>
        </w:rPr>
        <w:t>06</w:t>
      </w:r>
      <w:r w:rsidRPr="008775D5">
        <w:rPr>
          <w:rFonts w:ascii="Cambria" w:hAnsi="Cambria" w:cs="Times New Roman"/>
          <w:bCs/>
          <w:sz w:val="24"/>
          <w:szCs w:val="24"/>
        </w:rPr>
        <w:t>.202</w:t>
      </w:r>
      <w:r w:rsidR="00E64629">
        <w:rPr>
          <w:rFonts w:ascii="Cambria" w:hAnsi="Cambria" w:cs="Times New Roman"/>
          <w:bCs/>
          <w:sz w:val="24"/>
          <w:szCs w:val="24"/>
        </w:rPr>
        <w:t>3</w:t>
      </w:r>
      <w:r w:rsidRPr="008775D5">
        <w:rPr>
          <w:rFonts w:ascii="Cambria" w:hAnsi="Cambria" w:cs="Times New Roman"/>
          <w:bCs/>
          <w:sz w:val="24"/>
          <w:szCs w:val="24"/>
        </w:rPr>
        <w:t>. godine i izraženi su u konvertibilnim markama (KM). Uporedne podatke predstavljaju finansijski izvještaji za period koji se završavao na dan 3</w:t>
      </w:r>
      <w:r w:rsidR="00E64629">
        <w:rPr>
          <w:rFonts w:ascii="Cambria" w:hAnsi="Cambria" w:cs="Times New Roman"/>
          <w:bCs/>
          <w:sz w:val="24"/>
          <w:szCs w:val="24"/>
        </w:rPr>
        <w:t>0</w:t>
      </w:r>
      <w:r w:rsidRPr="008775D5">
        <w:rPr>
          <w:rFonts w:ascii="Cambria" w:hAnsi="Cambria" w:cs="Times New Roman"/>
          <w:bCs/>
          <w:sz w:val="24"/>
          <w:szCs w:val="24"/>
        </w:rPr>
        <w:t>.</w:t>
      </w:r>
      <w:r w:rsidR="00E64629">
        <w:rPr>
          <w:rFonts w:ascii="Cambria" w:hAnsi="Cambria" w:cs="Times New Roman"/>
          <w:bCs/>
          <w:sz w:val="24"/>
          <w:szCs w:val="24"/>
        </w:rPr>
        <w:t>06</w:t>
      </w:r>
      <w:r w:rsidRPr="008775D5">
        <w:rPr>
          <w:rFonts w:ascii="Cambria" w:hAnsi="Cambria" w:cs="Times New Roman"/>
          <w:bCs/>
          <w:sz w:val="24"/>
          <w:szCs w:val="24"/>
        </w:rPr>
        <w:t>.202</w:t>
      </w:r>
      <w:r w:rsidR="00E64629">
        <w:rPr>
          <w:rFonts w:ascii="Cambria" w:hAnsi="Cambria" w:cs="Times New Roman"/>
          <w:bCs/>
          <w:sz w:val="24"/>
          <w:szCs w:val="24"/>
        </w:rPr>
        <w:t>2</w:t>
      </w:r>
      <w:r w:rsidRPr="008775D5">
        <w:rPr>
          <w:rFonts w:ascii="Cambria" w:hAnsi="Cambria" w:cs="Times New Roman"/>
          <w:bCs/>
          <w:sz w:val="24"/>
          <w:szCs w:val="24"/>
        </w:rPr>
        <w:t>. godine.</w:t>
      </w:r>
    </w:p>
    <w:p w14:paraId="796BBE29" w14:textId="39C0B949" w:rsidR="00317647" w:rsidRPr="008775D5" w:rsidRDefault="00317647" w:rsidP="0083243E">
      <w:pPr>
        <w:jc w:val="both"/>
        <w:rPr>
          <w:rFonts w:ascii="Cambria" w:hAnsi="Cambria" w:cs="Times New Roman"/>
          <w:bCs/>
          <w:sz w:val="24"/>
          <w:szCs w:val="24"/>
        </w:rPr>
      </w:pPr>
      <w:r w:rsidRPr="008775D5">
        <w:rPr>
          <w:rFonts w:ascii="Cambria" w:hAnsi="Cambria" w:cs="Times New Roman"/>
          <w:bCs/>
          <w:sz w:val="24"/>
          <w:szCs w:val="24"/>
        </w:rPr>
        <w:t>Društvo je u sastavljanju ovih finansijskih izvještaja primjenjivalo računovodstvene politike obrazložene u napomeni 3 uz finansijske izvještaje, koje su zasnovane na računovodstvenim i poreskim propisima Republike Srpske.</w:t>
      </w:r>
    </w:p>
    <w:p w14:paraId="6ACE29F7" w14:textId="3190F073" w:rsidR="00317647" w:rsidRPr="008775D5" w:rsidRDefault="00317647" w:rsidP="0083243E">
      <w:pPr>
        <w:jc w:val="both"/>
        <w:rPr>
          <w:rFonts w:ascii="Cambria" w:hAnsi="Cambria" w:cs="Times New Roman"/>
          <w:bCs/>
          <w:sz w:val="24"/>
          <w:szCs w:val="24"/>
        </w:rPr>
      </w:pPr>
      <w:r w:rsidRPr="008775D5">
        <w:rPr>
          <w:rFonts w:ascii="Cambria" w:hAnsi="Cambria" w:cs="Times New Roman"/>
          <w:bCs/>
          <w:sz w:val="24"/>
          <w:szCs w:val="24"/>
        </w:rPr>
        <w:t>Društvo vodi evidenciju i sastavlja finansijske izvještaje u skladu sa Zakonom o računovodstvu i reviziji Republike Srpske i ostalom primjenjivom zakonskom regulativom u Republici Srpskoj i BiH.</w:t>
      </w:r>
    </w:p>
    <w:p w14:paraId="206537D5" w14:textId="5C25129F" w:rsidR="00317647" w:rsidRPr="008775D5" w:rsidRDefault="00317647" w:rsidP="0083243E">
      <w:pPr>
        <w:jc w:val="both"/>
        <w:rPr>
          <w:rFonts w:ascii="Cambria" w:hAnsi="Cambria" w:cs="Times New Roman"/>
          <w:bCs/>
          <w:sz w:val="24"/>
          <w:szCs w:val="24"/>
        </w:rPr>
      </w:pPr>
      <w:r w:rsidRPr="008775D5">
        <w:rPr>
          <w:rFonts w:ascii="Cambria" w:hAnsi="Cambria" w:cs="Times New Roman"/>
          <w:bCs/>
          <w:sz w:val="24"/>
          <w:szCs w:val="24"/>
        </w:rPr>
        <w:t xml:space="preserve">Pored toga, priloženi finansijski izveštaji su sastavljeni u formatu propisanom Pravilnikom o sadržini i formi obrazaca finansijskih izvještaja za privredna društva, zadruge, druga pravna </w:t>
      </w:r>
      <w:r w:rsidRPr="008775D5">
        <w:rPr>
          <w:rFonts w:ascii="Cambria" w:hAnsi="Cambria" w:cs="Times New Roman"/>
          <w:bCs/>
          <w:sz w:val="24"/>
          <w:szCs w:val="24"/>
        </w:rPr>
        <w:lastRenderedPageBreak/>
        <w:t xml:space="preserve">lica i preduzetnike i Pravilnikom o sadržini i formi obrasca Izvještaja o promjenama na kapitalu. </w:t>
      </w:r>
    </w:p>
    <w:p w14:paraId="15483581" w14:textId="2E8AE3C0" w:rsidR="00317647" w:rsidRPr="008775D5" w:rsidRDefault="00317647" w:rsidP="0083243E">
      <w:pPr>
        <w:jc w:val="both"/>
        <w:rPr>
          <w:rFonts w:ascii="Cambria" w:hAnsi="Cambria" w:cs="Times New Roman"/>
          <w:bCs/>
          <w:i/>
          <w:iCs/>
          <w:sz w:val="24"/>
          <w:szCs w:val="24"/>
        </w:rPr>
      </w:pPr>
      <w:r w:rsidRPr="008775D5">
        <w:rPr>
          <w:rFonts w:ascii="Cambria" w:hAnsi="Cambria" w:cs="Times New Roman"/>
          <w:bCs/>
          <w:i/>
          <w:iCs/>
          <w:sz w:val="24"/>
          <w:szCs w:val="24"/>
        </w:rPr>
        <w:t>Načelo stalnosti poslovanja („going corcern“)</w:t>
      </w:r>
    </w:p>
    <w:p w14:paraId="21501638" w14:textId="0EF6FFAA" w:rsidR="00317647" w:rsidRPr="008775D5" w:rsidRDefault="00317647" w:rsidP="0083243E">
      <w:pPr>
        <w:jc w:val="both"/>
        <w:rPr>
          <w:rFonts w:ascii="Cambria" w:hAnsi="Cambria" w:cs="Times New Roman"/>
          <w:bCs/>
          <w:sz w:val="24"/>
          <w:szCs w:val="24"/>
        </w:rPr>
      </w:pPr>
      <w:r w:rsidRPr="008775D5">
        <w:rPr>
          <w:rFonts w:ascii="Cambria" w:hAnsi="Cambria" w:cs="Times New Roman"/>
          <w:bCs/>
          <w:sz w:val="24"/>
          <w:szCs w:val="24"/>
        </w:rPr>
        <w:t>Finansijski izvještaji su pripremljeni u skladu sa načelom stalnosti poslovanja („going corcern“), koji podrazumjeva da će Društvo nastaviti da posluje u doglednoj budućnosti.</w:t>
      </w:r>
    </w:p>
    <w:p w14:paraId="2FDF8F9C" w14:textId="053D0CBA" w:rsidR="00874EBB" w:rsidRPr="008775D5" w:rsidRDefault="00874EBB" w:rsidP="00874EBB">
      <w:pPr>
        <w:pStyle w:val="ListParagraph"/>
        <w:numPr>
          <w:ilvl w:val="1"/>
          <w:numId w:val="4"/>
        </w:numPr>
        <w:shd w:val="clear" w:color="auto" w:fill="FFFFFF" w:themeFill="background1"/>
        <w:jc w:val="both"/>
        <w:rPr>
          <w:rFonts w:ascii="Cambria" w:hAnsi="Cambria"/>
          <w:b/>
          <w:bCs/>
          <w:sz w:val="24"/>
          <w:szCs w:val="24"/>
          <w:lang w:val="hr-HR"/>
        </w:rPr>
      </w:pPr>
      <w:bookmarkStart w:id="1" w:name="_Hlk119308454"/>
      <w:r w:rsidRPr="008775D5">
        <w:rPr>
          <w:rFonts w:ascii="Cambria" w:hAnsi="Cambria"/>
          <w:b/>
          <w:bCs/>
          <w:sz w:val="24"/>
          <w:szCs w:val="24"/>
          <w:lang w:val="hr-HR"/>
        </w:rPr>
        <w:t>Standardi i tumačenja primjenjeni u pripremi finansijskih izvještaj</w:t>
      </w:r>
    </w:p>
    <w:p w14:paraId="5D2459C2" w14:textId="1A4D98B8" w:rsidR="00874EBB" w:rsidRPr="008775D5" w:rsidRDefault="00874EBB" w:rsidP="00874EBB">
      <w:pPr>
        <w:shd w:val="clear" w:color="auto" w:fill="FFFFFF" w:themeFill="background1"/>
        <w:spacing w:line="240" w:lineRule="auto"/>
        <w:jc w:val="both"/>
        <w:rPr>
          <w:rFonts w:ascii="Cambria" w:hAnsi="Cambria" w:cs="Times New Roman"/>
          <w:sz w:val="24"/>
          <w:szCs w:val="24"/>
        </w:rPr>
      </w:pPr>
      <w:r w:rsidRPr="008775D5">
        <w:rPr>
          <w:rFonts w:ascii="Cambria" w:hAnsi="Cambria" w:cs="Times New Roman"/>
          <w:sz w:val="24"/>
          <w:szCs w:val="24"/>
        </w:rPr>
        <w:t xml:space="preserve">U skladu sa Zakonom, pravna lica u Republici Srpskoj treba da sastave i prezentuju finansijske izveštaje u skladu sa relevantnim zakonskim i profesionalnim regulativama, koje podrazumijevaju Međunarodne računovodstvene standarde (IAS), Medunarodne standarde finansijskog izvještavanja (IFRS), Međunarodnog standarda finansijskig izvještavanja za male i srednje entitete (MSFI za SME), Kodeks etike za profesionalne računovode i prateća uputstva, objašnjenja i smjernice koje donosi Odbor za međunarodne računovodstvene standarde (IASB) i sva prateća uputstva, objašnjenja i smjernice koje donosi Međunarodna federacija računovoda (IFAC). </w:t>
      </w:r>
    </w:p>
    <w:p w14:paraId="2DE89819" w14:textId="1B6680D9" w:rsidR="00874EBB" w:rsidRPr="008775D5" w:rsidRDefault="00874EBB" w:rsidP="00874EBB">
      <w:pPr>
        <w:shd w:val="clear" w:color="auto" w:fill="FFFFFF" w:themeFill="background1"/>
        <w:spacing w:line="240" w:lineRule="auto"/>
        <w:jc w:val="both"/>
        <w:rPr>
          <w:rFonts w:ascii="Cambria" w:hAnsi="Cambria" w:cs="Times New Roman"/>
          <w:sz w:val="24"/>
          <w:szCs w:val="24"/>
        </w:rPr>
      </w:pPr>
      <w:r w:rsidRPr="008775D5">
        <w:rPr>
          <w:rFonts w:ascii="Cambria" w:hAnsi="Cambria" w:cs="Times New Roman"/>
          <w:sz w:val="24"/>
          <w:szCs w:val="24"/>
        </w:rPr>
        <w:t>Računovodstveni i reviziski standardi su standardi, uputstva, objašnjenja, smjernice i načela definisani zakonom, objavljeni od prodesionalnog udruženja u saradnji sa Ministarstvom finansija.</w:t>
      </w:r>
    </w:p>
    <w:p w14:paraId="4669B3F6" w14:textId="36C29451" w:rsidR="00874EBB" w:rsidRPr="008775D5" w:rsidRDefault="00874EBB" w:rsidP="00874EBB">
      <w:pPr>
        <w:shd w:val="clear" w:color="auto" w:fill="FFFFFF" w:themeFill="background1"/>
        <w:spacing w:line="240" w:lineRule="auto"/>
        <w:jc w:val="both"/>
        <w:rPr>
          <w:rFonts w:ascii="Cambria" w:hAnsi="Cambria" w:cs="Times New Roman"/>
          <w:sz w:val="24"/>
          <w:szCs w:val="24"/>
        </w:rPr>
      </w:pPr>
      <w:r w:rsidRPr="008775D5">
        <w:rPr>
          <w:rFonts w:ascii="Cambria" w:hAnsi="Cambria" w:cs="Times New Roman"/>
          <w:sz w:val="24"/>
          <w:szCs w:val="24"/>
        </w:rPr>
        <w:t>Upravni odbor Saveza računovođa i revizora Republike Srpske (SRRRS) je od 19. februara 2021. godine donio Odluku o utvrđivanju</w:t>
      </w:r>
      <w:r w:rsidR="00515D31" w:rsidRPr="008775D5">
        <w:rPr>
          <w:rFonts w:ascii="Cambria" w:hAnsi="Cambria" w:cs="Times New Roman"/>
          <w:sz w:val="24"/>
          <w:szCs w:val="24"/>
        </w:rPr>
        <w:t xml:space="preserve"> i objavljivanju prevoda Međunarodnih standarda finansijskog izvještavanja (</w:t>
      </w:r>
      <w:r w:rsidR="00891D11" w:rsidRPr="008775D5">
        <w:rPr>
          <w:rFonts w:ascii="Cambria" w:hAnsi="Cambria" w:cs="Times New Roman"/>
          <w:sz w:val="24"/>
          <w:szCs w:val="24"/>
        </w:rPr>
        <w:t>MSFI) iz 2018. godine. Prema ovoj Odluci, MSFI iz 2018. godine se obavezno primjenuju za finansijske izvještaje koji se sastavljaju na dan 31. decembra 2021. godine ili kasnije.</w:t>
      </w:r>
    </w:p>
    <w:p w14:paraId="502C5F36" w14:textId="77777777" w:rsidR="00BF00A6" w:rsidRPr="008775D5" w:rsidRDefault="00891D11" w:rsidP="00BF00A6">
      <w:pPr>
        <w:shd w:val="clear" w:color="auto" w:fill="FFFFFF" w:themeFill="background1"/>
        <w:spacing w:line="240" w:lineRule="auto"/>
        <w:jc w:val="both"/>
        <w:rPr>
          <w:rFonts w:ascii="Cambria" w:hAnsi="Cambria" w:cs="Times New Roman"/>
          <w:sz w:val="24"/>
          <w:szCs w:val="24"/>
        </w:rPr>
      </w:pPr>
      <w:r w:rsidRPr="008775D5">
        <w:rPr>
          <w:rFonts w:ascii="Cambria" w:hAnsi="Cambria" w:cs="Times New Roman"/>
          <w:sz w:val="24"/>
          <w:szCs w:val="24"/>
        </w:rPr>
        <w:t xml:space="preserve">Upravni odbor SRRRS je 9. novembra 2021. godine donio Odluku o utvrđivanju i objavljivanju prevoda Međunarodnih standarda finansijskog izvještavanja (MSFI) iz 2020. godine. Prema ovoj Odluci, MSFI iz 2020. godine se </w:t>
      </w:r>
      <w:r w:rsidR="00BF00A6" w:rsidRPr="008775D5">
        <w:rPr>
          <w:rFonts w:ascii="Cambria" w:hAnsi="Cambria" w:cs="Times New Roman"/>
          <w:sz w:val="24"/>
          <w:szCs w:val="24"/>
        </w:rPr>
        <w:t>obavezno primjenuju za finansijske izvještaje koji se sastavljaju na dan 31. decembra 2021. godine ili kasnije.</w:t>
      </w:r>
    </w:p>
    <w:p w14:paraId="1DEB0831" w14:textId="3187BA73" w:rsidR="00BF00A6" w:rsidRPr="008775D5" w:rsidRDefault="00BF00A6" w:rsidP="00BF00A6">
      <w:pPr>
        <w:shd w:val="clear" w:color="auto" w:fill="FFFFFF" w:themeFill="background1"/>
        <w:spacing w:line="240" w:lineRule="auto"/>
        <w:jc w:val="both"/>
        <w:rPr>
          <w:rFonts w:ascii="Cambria" w:hAnsi="Cambria" w:cs="Times New Roman"/>
          <w:sz w:val="24"/>
          <w:szCs w:val="24"/>
        </w:rPr>
      </w:pPr>
      <w:r w:rsidRPr="008775D5">
        <w:rPr>
          <w:rFonts w:ascii="Cambria" w:hAnsi="Cambria" w:cs="Times New Roman"/>
          <w:sz w:val="24"/>
          <w:szCs w:val="24"/>
        </w:rPr>
        <w:t xml:space="preserve">Promjene u Međunarodnim standardima finansijskog izvještaja, Međunarodnim računovodstvenim standardima, tumačenjima, kao i novousvojeni standardi i tumačenja izdate nakon 1. januara 2020. godine nisu objavljeni i usvojeni u Republici Srpskoj. </w:t>
      </w:r>
      <w:r w:rsidR="003031E0" w:rsidRPr="008775D5">
        <w:rPr>
          <w:rFonts w:ascii="Cambria" w:hAnsi="Cambria" w:cs="Times New Roman"/>
          <w:sz w:val="24"/>
          <w:szCs w:val="24"/>
        </w:rPr>
        <w:t>U skladu sa ovimc ove promjene i novousvojeni standardi nisu primjenjene u sastavljanju priloženih izvještaja.</w:t>
      </w:r>
    </w:p>
    <w:p w14:paraId="7F68D60E" w14:textId="40FEAAA9" w:rsidR="003031E0" w:rsidRPr="008775D5" w:rsidRDefault="003031E0" w:rsidP="00BF00A6">
      <w:pPr>
        <w:shd w:val="clear" w:color="auto" w:fill="FFFFFF" w:themeFill="background1"/>
        <w:spacing w:line="240" w:lineRule="auto"/>
        <w:jc w:val="both"/>
        <w:rPr>
          <w:rFonts w:ascii="Cambria" w:hAnsi="Cambria" w:cs="Times New Roman"/>
          <w:sz w:val="24"/>
          <w:szCs w:val="24"/>
        </w:rPr>
      </w:pPr>
      <w:r w:rsidRPr="008775D5">
        <w:rPr>
          <w:rFonts w:ascii="Cambria" w:hAnsi="Cambria" w:cs="Times New Roman"/>
          <w:sz w:val="24"/>
          <w:szCs w:val="24"/>
        </w:rPr>
        <w:t>Uzimajući u obzir potencijalne materijalne efekte koje odstupanja računovodstvenih propisa Republike Srpske od MSFI i MRS mogu imati na fer prezentaciju finansijskih izvještaja Društva, priloženi finansijski izvještaji se ne mogu smatrati pripremljenim u punoj saglasnosti sa MSFI.</w:t>
      </w:r>
    </w:p>
    <w:p w14:paraId="04E5F4EF" w14:textId="77F84A0C" w:rsidR="003031E0" w:rsidRPr="008775D5" w:rsidRDefault="003031E0" w:rsidP="00BF00A6">
      <w:pPr>
        <w:shd w:val="clear" w:color="auto" w:fill="FFFFFF" w:themeFill="background1"/>
        <w:spacing w:line="240" w:lineRule="auto"/>
        <w:jc w:val="both"/>
        <w:rPr>
          <w:rFonts w:ascii="Cambria" w:hAnsi="Cambria" w:cs="Times New Roman"/>
          <w:sz w:val="24"/>
          <w:szCs w:val="24"/>
        </w:rPr>
      </w:pPr>
      <w:r w:rsidRPr="008775D5">
        <w:rPr>
          <w:rFonts w:ascii="Cambria" w:hAnsi="Cambria" w:cs="Times New Roman"/>
          <w:sz w:val="24"/>
          <w:szCs w:val="24"/>
        </w:rPr>
        <w:t>Rukovodstvo Društva ocjenjuje na osnovu trenutno raspoloživih informacija da primjena MSFI i tumačenja na snazi u tekućem periodu koji još uvijek nisu zvanično prevedeni i objavljeni u Republici Srpskoj te standarda i tumačenja koji još uvijek nisu stupili na snagu neće imati značajan uticaj na finansijske izvještaje Društva.</w:t>
      </w:r>
    </w:p>
    <w:p w14:paraId="63D1E93E" w14:textId="691B10BE" w:rsidR="00A3680D" w:rsidRPr="008775D5" w:rsidRDefault="003031E0" w:rsidP="00BF00A6">
      <w:pPr>
        <w:shd w:val="clear" w:color="auto" w:fill="FFFFFF" w:themeFill="background1"/>
        <w:spacing w:line="240" w:lineRule="auto"/>
        <w:jc w:val="both"/>
        <w:rPr>
          <w:rFonts w:ascii="Cambria" w:hAnsi="Cambria" w:cs="Times New Roman"/>
          <w:sz w:val="24"/>
          <w:szCs w:val="24"/>
        </w:rPr>
      </w:pPr>
      <w:r w:rsidRPr="008775D5">
        <w:rPr>
          <w:rFonts w:ascii="Cambria" w:hAnsi="Cambria" w:cs="Times New Roman"/>
          <w:sz w:val="24"/>
          <w:szCs w:val="24"/>
        </w:rPr>
        <w:lastRenderedPageBreak/>
        <w:t>Objavljeni standardi i tumačenja na snazi u tekućem periodu koji još uvijek nusu zvanično prevedeni i usvojeni, kao i objavljeni standardi i tumačenja koji još uvijek nisu u primjeni, objelodanjeni su u napomenama u nastavku</w:t>
      </w:r>
      <w:r w:rsidR="00A3680D" w:rsidRPr="008775D5">
        <w:rPr>
          <w:rFonts w:ascii="Cambria" w:hAnsi="Cambria" w:cs="Times New Roman"/>
          <w:sz w:val="24"/>
          <w:szCs w:val="24"/>
        </w:rPr>
        <w:t>.</w:t>
      </w:r>
    </w:p>
    <w:p w14:paraId="4E5E2E7A" w14:textId="372AF3F8" w:rsidR="00A3680D" w:rsidRPr="008775D5" w:rsidRDefault="00A3680D" w:rsidP="00BF00A6">
      <w:pPr>
        <w:shd w:val="clear" w:color="auto" w:fill="FFFFFF" w:themeFill="background1"/>
        <w:spacing w:line="240" w:lineRule="auto"/>
        <w:jc w:val="both"/>
        <w:rPr>
          <w:rFonts w:ascii="Cambria" w:hAnsi="Cambria" w:cs="Times New Roman"/>
          <w:i/>
          <w:iCs/>
          <w:sz w:val="24"/>
          <w:szCs w:val="24"/>
        </w:rPr>
      </w:pPr>
      <w:r w:rsidRPr="008775D5">
        <w:rPr>
          <w:rFonts w:ascii="Cambria" w:hAnsi="Cambria" w:cs="Times New Roman"/>
          <w:i/>
          <w:iCs/>
          <w:sz w:val="24"/>
          <w:szCs w:val="24"/>
        </w:rPr>
        <w:t>Novousvojeni standardi, revizije i interpretacija standarda na snazi koji nisu u zvaničnoj primjeni u Republici Srpskoj.</w:t>
      </w:r>
    </w:p>
    <w:p w14:paraId="05DE3CDA" w14:textId="6DB04C3D" w:rsidR="00A3680D" w:rsidRPr="008775D5" w:rsidRDefault="00A3680D" w:rsidP="00BF00A6">
      <w:pPr>
        <w:shd w:val="clear" w:color="auto" w:fill="FFFFFF" w:themeFill="background1"/>
        <w:spacing w:line="240" w:lineRule="auto"/>
        <w:jc w:val="both"/>
        <w:rPr>
          <w:rFonts w:ascii="Cambria" w:hAnsi="Cambria" w:cs="Times New Roman"/>
          <w:sz w:val="24"/>
          <w:szCs w:val="24"/>
        </w:rPr>
      </w:pPr>
      <w:r w:rsidRPr="008775D5">
        <w:rPr>
          <w:rFonts w:ascii="Cambria" w:hAnsi="Cambria" w:cs="Times New Roman"/>
          <w:sz w:val="24"/>
          <w:szCs w:val="24"/>
        </w:rPr>
        <w:t>Sljedeći standardi, izmene standarda i tumačenja izdati od strane IASB odnosno IFRIC su trebali da budu primjenjeni u pripremi finansijskih izvještaja za periode koji su počeli nakon 1. januara 2021. godine, ali nisu primjenjeni pri pripremi ovih finansijskih izvještaja u skladu sa odlukama SRRRS ili još nisu zvanično prevedeni od strane Ministarstva finansija:</w:t>
      </w:r>
    </w:p>
    <w:p w14:paraId="4CEEF6B5" w14:textId="3555C69B" w:rsidR="00A3680D" w:rsidRPr="008775D5" w:rsidRDefault="00A3680D" w:rsidP="00A3680D">
      <w:pPr>
        <w:pStyle w:val="ListParagraph"/>
        <w:numPr>
          <w:ilvl w:val="0"/>
          <w:numId w:val="5"/>
        </w:numPr>
        <w:shd w:val="clear" w:color="auto" w:fill="FFFFFF" w:themeFill="background1"/>
        <w:spacing w:line="240" w:lineRule="auto"/>
        <w:jc w:val="both"/>
        <w:rPr>
          <w:rFonts w:ascii="Cambria" w:hAnsi="Cambria" w:cs="Times New Roman"/>
          <w:sz w:val="24"/>
          <w:szCs w:val="24"/>
        </w:rPr>
      </w:pPr>
      <w:r w:rsidRPr="008775D5">
        <w:rPr>
          <w:rFonts w:ascii="Cambria" w:hAnsi="Cambria" w:cs="Times New Roman"/>
          <w:sz w:val="24"/>
          <w:szCs w:val="24"/>
        </w:rPr>
        <w:t>Konceptualni okvir za finansijsko izvještavanje 2018 (izdat u martu 2018. godine, nema naveden datum primjene, na snazi od momenta objavljivanja);</w:t>
      </w:r>
    </w:p>
    <w:p w14:paraId="36B0FF4D" w14:textId="260E4908" w:rsidR="00A3680D" w:rsidRPr="008775D5" w:rsidRDefault="00A3680D" w:rsidP="00A3680D">
      <w:pPr>
        <w:pStyle w:val="ListParagraph"/>
        <w:numPr>
          <w:ilvl w:val="0"/>
          <w:numId w:val="5"/>
        </w:numPr>
        <w:shd w:val="clear" w:color="auto" w:fill="FFFFFF" w:themeFill="background1"/>
        <w:spacing w:line="240" w:lineRule="auto"/>
        <w:jc w:val="both"/>
        <w:rPr>
          <w:rFonts w:ascii="Cambria" w:hAnsi="Cambria" w:cs="Times New Roman"/>
          <w:sz w:val="24"/>
          <w:szCs w:val="24"/>
        </w:rPr>
      </w:pPr>
      <w:r w:rsidRPr="008775D5">
        <w:rPr>
          <w:rFonts w:ascii="Cambria" w:hAnsi="Cambria" w:cs="Times New Roman"/>
          <w:sz w:val="24"/>
          <w:szCs w:val="24"/>
        </w:rPr>
        <w:t>MSFI 16 „Lizing“ ( na snazi za godišnje periode koji počinju na dan ili nakon januara 202</w:t>
      </w:r>
      <w:r w:rsidR="00A71515" w:rsidRPr="008775D5">
        <w:rPr>
          <w:rFonts w:ascii="Cambria" w:hAnsi="Cambria" w:cs="Times New Roman"/>
          <w:sz w:val="24"/>
          <w:szCs w:val="24"/>
        </w:rPr>
        <w:t>1</w:t>
      </w:r>
      <w:r w:rsidRPr="008775D5">
        <w:rPr>
          <w:rFonts w:ascii="Cambria" w:hAnsi="Cambria" w:cs="Times New Roman"/>
          <w:sz w:val="24"/>
          <w:szCs w:val="24"/>
        </w:rPr>
        <w:t>. godine);</w:t>
      </w:r>
    </w:p>
    <w:p w14:paraId="511E35E5" w14:textId="4EB98DEE" w:rsidR="00A3680D" w:rsidRPr="008775D5" w:rsidRDefault="00A3680D" w:rsidP="00A3680D">
      <w:pPr>
        <w:pStyle w:val="ListParagraph"/>
        <w:numPr>
          <w:ilvl w:val="0"/>
          <w:numId w:val="5"/>
        </w:numPr>
        <w:shd w:val="clear" w:color="auto" w:fill="FFFFFF" w:themeFill="background1"/>
        <w:spacing w:line="240" w:lineRule="auto"/>
        <w:jc w:val="both"/>
        <w:rPr>
          <w:rFonts w:ascii="Cambria" w:hAnsi="Cambria" w:cs="Times New Roman"/>
          <w:sz w:val="24"/>
          <w:szCs w:val="24"/>
        </w:rPr>
      </w:pPr>
      <w:r w:rsidRPr="008775D5">
        <w:rPr>
          <w:rFonts w:ascii="Cambria" w:hAnsi="Cambria" w:cs="Times New Roman"/>
          <w:sz w:val="24"/>
          <w:szCs w:val="24"/>
        </w:rPr>
        <w:t>IFRIC 23 „Neizvjesnosti u vezi sa tretmanom poreza na dobitak“ ( na snazi za godišnje periode koji počinju na dan ili nakon 1. januara 2020. godine)</w:t>
      </w:r>
      <w:r w:rsidR="0013445D" w:rsidRPr="008775D5">
        <w:rPr>
          <w:rFonts w:ascii="Cambria" w:hAnsi="Cambria" w:cs="Times New Roman"/>
          <w:sz w:val="24"/>
          <w:szCs w:val="24"/>
        </w:rPr>
        <w:t>;</w:t>
      </w:r>
    </w:p>
    <w:p w14:paraId="0B341C13" w14:textId="2F891F9A" w:rsidR="00A3680D" w:rsidRPr="008775D5" w:rsidRDefault="00A3680D" w:rsidP="00A3680D">
      <w:pPr>
        <w:pStyle w:val="ListParagraph"/>
        <w:numPr>
          <w:ilvl w:val="0"/>
          <w:numId w:val="5"/>
        </w:numPr>
        <w:shd w:val="clear" w:color="auto" w:fill="FFFFFF" w:themeFill="background1"/>
        <w:spacing w:line="240" w:lineRule="auto"/>
        <w:jc w:val="both"/>
        <w:rPr>
          <w:rFonts w:ascii="Cambria" w:hAnsi="Cambria" w:cs="Times New Roman"/>
          <w:sz w:val="24"/>
          <w:szCs w:val="24"/>
        </w:rPr>
      </w:pPr>
      <w:bookmarkStart w:id="2" w:name="_Hlk119321358"/>
      <w:r w:rsidRPr="008775D5">
        <w:rPr>
          <w:rFonts w:ascii="Cambria" w:hAnsi="Cambria" w:cs="Times New Roman"/>
          <w:sz w:val="24"/>
          <w:szCs w:val="24"/>
        </w:rPr>
        <w:t>Godišnja unačređenja MSFI „Ciklus 2015-2017“</w:t>
      </w:r>
      <w:r w:rsidR="0013445D" w:rsidRPr="008775D5">
        <w:rPr>
          <w:rFonts w:ascii="Cambria" w:hAnsi="Cambria" w:cs="Times New Roman"/>
          <w:sz w:val="24"/>
          <w:szCs w:val="24"/>
        </w:rPr>
        <w:t xml:space="preserve"> – MSFI 3, MSFI 11, MRS 12 i MRS 23, objavljena od strane IASB-a u decembru 2017. godine (na snazi za godišnje periode koji počinju na dan ili nakon 1. januara 2020. godine);</w:t>
      </w:r>
    </w:p>
    <w:bookmarkEnd w:id="2"/>
    <w:p w14:paraId="3A8E2911" w14:textId="08107EF0" w:rsidR="0013445D" w:rsidRPr="008775D5" w:rsidRDefault="0013445D" w:rsidP="00A3680D">
      <w:pPr>
        <w:pStyle w:val="ListParagraph"/>
        <w:numPr>
          <w:ilvl w:val="0"/>
          <w:numId w:val="5"/>
        </w:numPr>
        <w:shd w:val="clear" w:color="auto" w:fill="FFFFFF" w:themeFill="background1"/>
        <w:spacing w:line="240" w:lineRule="auto"/>
        <w:jc w:val="both"/>
        <w:rPr>
          <w:rFonts w:ascii="Cambria" w:hAnsi="Cambria" w:cs="Times New Roman"/>
          <w:sz w:val="24"/>
          <w:szCs w:val="24"/>
        </w:rPr>
      </w:pPr>
      <w:r w:rsidRPr="008775D5">
        <w:rPr>
          <w:rFonts w:ascii="Cambria" w:hAnsi="Cambria" w:cs="Times New Roman"/>
          <w:sz w:val="24"/>
          <w:szCs w:val="24"/>
        </w:rPr>
        <w:t>Izmjene MSFI 9 „Finansijski instrumenti“ u vezi sa prevremenim otplatama sa negativnim komenzacijama (na snazi za godišnje periode koji počinju na dan ili nakon 1. januara 2020. godine);</w:t>
      </w:r>
    </w:p>
    <w:p w14:paraId="7BE2833E" w14:textId="4B4D7AA1" w:rsidR="0013445D" w:rsidRPr="008775D5" w:rsidRDefault="0013445D" w:rsidP="00A3680D">
      <w:pPr>
        <w:pStyle w:val="ListParagraph"/>
        <w:numPr>
          <w:ilvl w:val="0"/>
          <w:numId w:val="5"/>
        </w:numPr>
        <w:shd w:val="clear" w:color="auto" w:fill="FFFFFF" w:themeFill="background1"/>
        <w:spacing w:line="240" w:lineRule="auto"/>
        <w:jc w:val="both"/>
        <w:rPr>
          <w:rFonts w:ascii="Cambria" w:hAnsi="Cambria" w:cs="Times New Roman"/>
          <w:sz w:val="24"/>
          <w:szCs w:val="24"/>
        </w:rPr>
      </w:pPr>
      <w:r w:rsidRPr="008775D5">
        <w:rPr>
          <w:rFonts w:ascii="Cambria" w:hAnsi="Cambria" w:cs="Times New Roman"/>
          <w:sz w:val="24"/>
          <w:szCs w:val="24"/>
        </w:rPr>
        <w:t>Izmjene MSFI 28 „Ulaganja u pridružene entitete i zajedničke poduhvate“ u vezi sa dugoročnim ulaganjima u pridružene entitete i zajedničke poduhvate (na snazi za godišnje periode koji počinju na dan ili nakon 1. januara 2020. godine);</w:t>
      </w:r>
    </w:p>
    <w:p w14:paraId="2808522A" w14:textId="77777777" w:rsidR="00033B48" w:rsidRPr="008775D5" w:rsidRDefault="00033B48" w:rsidP="00033B48">
      <w:pPr>
        <w:pStyle w:val="ListParagraph"/>
        <w:numPr>
          <w:ilvl w:val="0"/>
          <w:numId w:val="5"/>
        </w:numPr>
        <w:shd w:val="clear" w:color="auto" w:fill="FFFFFF" w:themeFill="background1"/>
        <w:spacing w:line="240" w:lineRule="auto"/>
        <w:jc w:val="both"/>
        <w:rPr>
          <w:rFonts w:ascii="Cambria" w:hAnsi="Cambria" w:cs="Times New Roman"/>
          <w:sz w:val="24"/>
          <w:szCs w:val="24"/>
        </w:rPr>
      </w:pPr>
      <w:r w:rsidRPr="008775D5">
        <w:rPr>
          <w:rFonts w:ascii="Cambria" w:hAnsi="Cambria" w:cs="Times New Roman"/>
          <w:sz w:val="24"/>
          <w:szCs w:val="24"/>
        </w:rPr>
        <w:t>Izmjene MRS 19 „Primanja zaposlenih“ u vezi sa izmjenama, smanjenjem ili izmirenjem plana (na snazi za godišnje periode koji počinju na dan ili nakon 1. januara 2020. godine);</w:t>
      </w:r>
    </w:p>
    <w:p w14:paraId="76663D7D" w14:textId="27EB6BAF" w:rsidR="0013445D" w:rsidRPr="008775D5" w:rsidRDefault="00033B48" w:rsidP="00A3680D">
      <w:pPr>
        <w:pStyle w:val="ListParagraph"/>
        <w:numPr>
          <w:ilvl w:val="0"/>
          <w:numId w:val="5"/>
        </w:numPr>
        <w:shd w:val="clear" w:color="auto" w:fill="FFFFFF" w:themeFill="background1"/>
        <w:spacing w:line="240" w:lineRule="auto"/>
        <w:jc w:val="both"/>
        <w:rPr>
          <w:rFonts w:ascii="Cambria" w:hAnsi="Cambria" w:cs="Times New Roman"/>
          <w:sz w:val="24"/>
          <w:szCs w:val="24"/>
        </w:rPr>
      </w:pPr>
      <w:r w:rsidRPr="008775D5">
        <w:rPr>
          <w:rFonts w:ascii="Cambria" w:hAnsi="Cambria" w:cs="Times New Roman"/>
          <w:sz w:val="24"/>
          <w:szCs w:val="24"/>
        </w:rPr>
        <w:t xml:space="preserve">Izmjene MSFI 3 „Poslovne kombinacije“ </w:t>
      </w:r>
      <w:bookmarkStart w:id="3" w:name="_Hlk119320447"/>
      <w:r w:rsidRPr="008775D5">
        <w:rPr>
          <w:rFonts w:ascii="Cambria" w:hAnsi="Cambria" w:cs="Times New Roman"/>
          <w:sz w:val="24"/>
          <w:szCs w:val="24"/>
        </w:rPr>
        <w:t>(na snazi za godišnje periode koji počinju na dan ili nakon 1. januara 2021. godine);</w:t>
      </w:r>
    </w:p>
    <w:bookmarkEnd w:id="3"/>
    <w:p w14:paraId="2AD8EC58" w14:textId="77777777" w:rsidR="00033B48" w:rsidRPr="008775D5" w:rsidRDefault="00033B48" w:rsidP="00033B48">
      <w:pPr>
        <w:pStyle w:val="ListParagraph"/>
        <w:numPr>
          <w:ilvl w:val="0"/>
          <w:numId w:val="5"/>
        </w:numPr>
        <w:shd w:val="clear" w:color="auto" w:fill="FFFFFF" w:themeFill="background1"/>
        <w:spacing w:line="240" w:lineRule="auto"/>
        <w:jc w:val="both"/>
        <w:rPr>
          <w:rFonts w:ascii="Cambria" w:hAnsi="Cambria" w:cs="Times New Roman"/>
          <w:sz w:val="24"/>
          <w:szCs w:val="24"/>
        </w:rPr>
      </w:pPr>
      <w:r w:rsidRPr="008775D5">
        <w:rPr>
          <w:rFonts w:ascii="Cambria" w:hAnsi="Cambria" w:cs="Times New Roman"/>
          <w:sz w:val="24"/>
          <w:szCs w:val="24"/>
        </w:rPr>
        <w:t>Izmjene MRS 1 i MRS 8 u vezi sa depinicojom materijalnosti (na snazi za godišnje periode koji počinju na dan ili nakon 1. januara 2021. godine);</w:t>
      </w:r>
    </w:p>
    <w:p w14:paraId="1BACB8C7" w14:textId="734A66B7" w:rsidR="00033B48" w:rsidRPr="008775D5" w:rsidRDefault="00033B48" w:rsidP="00033B48">
      <w:pPr>
        <w:pStyle w:val="ListParagraph"/>
        <w:numPr>
          <w:ilvl w:val="0"/>
          <w:numId w:val="5"/>
        </w:numPr>
        <w:rPr>
          <w:rFonts w:ascii="Cambria" w:hAnsi="Cambria" w:cs="Times New Roman"/>
          <w:sz w:val="24"/>
          <w:szCs w:val="24"/>
        </w:rPr>
      </w:pPr>
      <w:r w:rsidRPr="008775D5">
        <w:rPr>
          <w:rFonts w:ascii="Cambria" w:hAnsi="Cambria" w:cs="Times New Roman"/>
          <w:sz w:val="24"/>
          <w:szCs w:val="24"/>
        </w:rPr>
        <w:t>Izmjene MSFI 2, MSFI 6, MSFI 14 MRS 1, MRS 8, MRS 34, MRS 37, MRS 38, IFRIC 12, IFRIC 19, IFRIC 20, IFRIC 22 I SIC -32 zbog usaglašavanja sa novim Okvirom za finansijsko izvještavanje (na snazi za godišnje periode koji počinju na dan ili nakon 1. januara 2021. godine) i</w:t>
      </w:r>
    </w:p>
    <w:p w14:paraId="2678D8B6" w14:textId="24A3B1ED" w:rsidR="00033B48" w:rsidRPr="008775D5" w:rsidRDefault="00033B48" w:rsidP="00033B48">
      <w:pPr>
        <w:pStyle w:val="ListParagraph"/>
        <w:numPr>
          <w:ilvl w:val="0"/>
          <w:numId w:val="5"/>
        </w:numPr>
        <w:rPr>
          <w:rFonts w:ascii="Cambria" w:hAnsi="Cambria" w:cs="Times New Roman"/>
          <w:sz w:val="24"/>
          <w:szCs w:val="24"/>
        </w:rPr>
      </w:pPr>
      <w:r w:rsidRPr="008775D5">
        <w:rPr>
          <w:rFonts w:ascii="Cambria" w:hAnsi="Cambria" w:cs="Times New Roman"/>
          <w:sz w:val="24"/>
          <w:szCs w:val="24"/>
        </w:rPr>
        <w:t>Izmjene MSFI 9, MRS 39, MSFI 4, MSFI 7 i MSFI 16 –„Reforma referentnih kamatnih stopa“</w:t>
      </w:r>
      <w:r w:rsidR="00BF00A6" w:rsidRPr="008775D5">
        <w:rPr>
          <w:rFonts w:ascii="Cambria" w:hAnsi="Cambria" w:cs="Times New Roman"/>
          <w:sz w:val="24"/>
          <w:szCs w:val="24"/>
        </w:rPr>
        <w:t xml:space="preserve"> </w:t>
      </w:r>
      <w:r w:rsidRPr="008775D5">
        <w:rPr>
          <w:rFonts w:ascii="Cambria" w:hAnsi="Cambria" w:cs="Times New Roman"/>
          <w:sz w:val="24"/>
          <w:szCs w:val="24"/>
        </w:rPr>
        <w:t>(na snazi za godišnje periode koji počinju na dan ili nakon 1. januara 2021. godine).</w:t>
      </w:r>
    </w:p>
    <w:p w14:paraId="36EDA338" w14:textId="202572E8" w:rsidR="00033B48" w:rsidRPr="008775D5" w:rsidRDefault="00033B48" w:rsidP="0083243E">
      <w:pPr>
        <w:jc w:val="both"/>
        <w:rPr>
          <w:rFonts w:ascii="Cambria" w:hAnsi="Cambria" w:cs="Times New Roman"/>
          <w:i/>
          <w:iCs/>
          <w:sz w:val="24"/>
          <w:szCs w:val="24"/>
        </w:rPr>
      </w:pPr>
      <w:r w:rsidRPr="008775D5">
        <w:rPr>
          <w:rFonts w:ascii="Cambria" w:hAnsi="Cambria" w:cs="Times New Roman"/>
          <w:i/>
          <w:iCs/>
          <w:sz w:val="24"/>
          <w:szCs w:val="24"/>
        </w:rPr>
        <w:t>Novousvojeni standardi, revizije i interpretacije standarda koji nisu stupili na snagu</w:t>
      </w:r>
    </w:p>
    <w:p w14:paraId="57B5F756" w14:textId="54431BA4" w:rsidR="00033B48" w:rsidRPr="008775D5" w:rsidRDefault="00033B48" w:rsidP="0083243E">
      <w:pPr>
        <w:jc w:val="both"/>
        <w:rPr>
          <w:rFonts w:ascii="Cambria" w:hAnsi="Cambria" w:cs="Times New Roman"/>
          <w:sz w:val="24"/>
          <w:szCs w:val="24"/>
        </w:rPr>
      </w:pPr>
      <w:r w:rsidRPr="008775D5">
        <w:rPr>
          <w:rFonts w:ascii="Cambria" w:hAnsi="Cambria" w:cs="Times New Roman"/>
          <w:sz w:val="24"/>
          <w:szCs w:val="24"/>
        </w:rPr>
        <w:t xml:space="preserve">Sljedeći standardi, izmjene standarda i tumačenja izdati su od strane IASB odnosos IFRIC do dana usvajanja ovih finansijskih izvještaja, ali još nisu stupili na snagu, niti je objavljen njihov </w:t>
      </w:r>
      <w:r w:rsidRPr="008775D5">
        <w:rPr>
          <w:rFonts w:ascii="Cambria" w:hAnsi="Cambria" w:cs="Times New Roman"/>
          <w:sz w:val="24"/>
          <w:szCs w:val="24"/>
        </w:rPr>
        <w:lastRenderedPageBreak/>
        <w:t>prevod od strane Ministarstva finansija, te nisu primjenjeni prilikom pripreme ovih finansijskih izvještaja:</w:t>
      </w:r>
    </w:p>
    <w:p w14:paraId="069E46EB" w14:textId="42E0AAB0" w:rsidR="009045A6" w:rsidRPr="008775D5" w:rsidRDefault="009045A6" w:rsidP="009045A6">
      <w:pPr>
        <w:pStyle w:val="ListParagraph"/>
        <w:numPr>
          <w:ilvl w:val="0"/>
          <w:numId w:val="5"/>
        </w:numPr>
        <w:rPr>
          <w:rFonts w:ascii="Cambria" w:hAnsi="Cambria" w:cs="Times New Roman"/>
          <w:sz w:val="24"/>
          <w:szCs w:val="24"/>
        </w:rPr>
      </w:pPr>
      <w:r w:rsidRPr="008775D5">
        <w:rPr>
          <w:rFonts w:ascii="Cambria" w:hAnsi="Cambria" w:cs="Times New Roman"/>
          <w:sz w:val="24"/>
          <w:szCs w:val="24"/>
        </w:rPr>
        <w:t>MSFI 17 „Ugovori o osiguranju“</w:t>
      </w:r>
      <w:r w:rsidR="006C2C4A" w:rsidRPr="008775D5">
        <w:rPr>
          <w:rFonts w:ascii="Cambria" w:hAnsi="Cambria" w:cs="Times New Roman"/>
          <w:sz w:val="24"/>
          <w:szCs w:val="24"/>
        </w:rPr>
        <w:t>, uključujući izmjene MSFI 17</w:t>
      </w:r>
      <w:r w:rsidRPr="008775D5">
        <w:rPr>
          <w:rFonts w:ascii="Cambria" w:hAnsi="Cambria" w:cs="Times New Roman"/>
          <w:sz w:val="24"/>
          <w:szCs w:val="24"/>
        </w:rPr>
        <w:t xml:space="preserve"> (na snazi za godišnje periode koji počinju na dan ili nakon 1. januara 202</w:t>
      </w:r>
      <w:r w:rsidR="006C2C4A" w:rsidRPr="008775D5">
        <w:rPr>
          <w:rFonts w:ascii="Cambria" w:hAnsi="Cambria" w:cs="Times New Roman"/>
          <w:sz w:val="24"/>
          <w:szCs w:val="24"/>
        </w:rPr>
        <w:t>3</w:t>
      </w:r>
      <w:r w:rsidRPr="008775D5">
        <w:rPr>
          <w:rFonts w:ascii="Cambria" w:hAnsi="Cambria" w:cs="Times New Roman"/>
          <w:sz w:val="24"/>
          <w:szCs w:val="24"/>
        </w:rPr>
        <w:t>. godine) ;</w:t>
      </w:r>
    </w:p>
    <w:p w14:paraId="710CFB19" w14:textId="2173CF1C" w:rsidR="009045A6" w:rsidRPr="008775D5" w:rsidRDefault="009045A6" w:rsidP="009045A6">
      <w:pPr>
        <w:pStyle w:val="ListParagraph"/>
        <w:numPr>
          <w:ilvl w:val="0"/>
          <w:numId w:val="5"/>
        </w:numPr>
        <w:rPr>
          <w:rFonts w:ascii="Cambria" w:hAnsi="Cambria" w:cs="Times New Roman"/>
          <w:sz w:val="24"/>
          <w:szCs w:val="24"/>
        </w:rPr>
      </w:pPr>
      <w:r w:rsidRPr="008775D5">
        <w:rPr>
          <w:rFonts w:ascii="Cambria" w:hAnsi="Cambria" w:cs="Times New Roman"/>
          <w:sz w:val="24"/>
          <w:szCs w:val="24"/>
        </w:rPr>
        <w:t>Izmjene MRS 1 „Prezentacija finansijskih izvještaja“</w:t>
      </w:r>
      <w:r w:rsidR="006C2C4A" w:rsidRPr="008775D5">
        <w:rPr>
          <w:rFonts w:ascii="Cambria" w:hAnsi="Cambria" w:cs="Times New Roman"/>
          <w:sz w:val="24"/>
          <w:szCs w:val="24"/>
        </w:rPr>
        <w:t xml:space="preserve">- </w:t>
      </w:r>
      <w:r w:rsidRPr="008775D5">
        <w:rPr>
          <w:rFonts w:ascii="Cambria" w:hAnsi="Cambria" w:cs="Times New Roman"/>
          <w:sz w:val="24"/>
          <w:szCs w:val="24"/>
        </w:rPr>
        <w:t xml:space="preserve"> u vezi sa klasifikacijom obaveza kao kratkoročnih ili dugoročnih </w:t>
      </w:r>
      <w:bookmarkStart w:id="4" w:name="_Hlk119321120"/>
      <w:r w:rsidRPr="008775D5">
        <w:rPr>
          <w:rFonts w:ascii="Cambria" w:hAnsi="Cambria" w:cs="Times New Roman"/>
          <w:sz w:val="24"/>
          <w:szCs w:val="24"/>
        </w:rPr>
        <w:t>(na snazi za godišnje periode koji počinju na dan ili nakon 1. januara 202</w:t>
      </w:r>
      <w:r w:rsidR="006C2C4A" w:rsidRPr="008775D5">
        <w:rPr>
          <w:rFonts w:ascii="Cambria" w:hAnsi="Cambria" w:cs="Times New Roman"/>
          <w:sz w:val="24"/>
          <w:szCs w:val="24"/>
        </w:rPr>
        <w:t>3</w:t>
      </w:r>
      <w:r w:rsidRPr="008775D5">
        <w:rPr>
          <w:rFonts w:ascii="Cambria" w:hAnsi="Cambria" w:cs="Times New Roman"/>
          <w:sz w:val="24"/>
          <w:szCs w:val="24"/>
        </w:rPr>
        <w:t xml:space="preserve">. godine); </w:t>
      </w:r>
    </w:p>
    <w:bookmarkEnd w:id="4"/>
    <w:p w14:paraId="11631F5B" w14:textId="77777777" w:rsidR="009045A6" w:rsidRPr="008775D5" w:rsidRDefault="009045A6" w:rsidP="009045A6">
      <w:pPr>
        <w:pStyle w:val="ListParagraph"/>
        <w:numPr>
          <w:ilvl w:val="0"/>
          <w:numId w:val="5"/>
        </w:numPr>
        <w:rPr>
          <w:rFonts w:ascii="Cambria" w:hAnsi="Cambria" w:cs="Times New Roman"/>
          <w:sz w:val="24"/>
          <w:szCs w:val="24"/>
        </w:rPr>
      </w:pPr>
      <w:r w:rsidRPr="008775D5">
        <w:rPr>
          <w:rFonts w:ascii="Cambria" w:hAnsi="Cambria" w:cs="Times New Roman"/>
          <w:sz w:val="24"/>
          <w:szCs w:val="24"/>
        </w:rPr>
        <w:t xml:space="preserve">Izmjene MRS 16 u vezi sa prihodima od nekretnina, postrojenja i opreme prije njihovog stavljanja u upotrebu (na snazi za godišnje periode koji počinju na dan ili nakon 1. januara 2022. godine); </w:t>
      </w:r>
    </w:p>
    <w:p w14:paraId="2C822DB3" w14:textId="333A11CE" w:rsidR="009045A6" w:rsidRPr="008775D5" w:rsidRDefault="009045A6" w:rsidP="009045A6">
      <w:pPr>
        <w:pStyle w:val="ListParagraph"/>
        <w:numPr>
          <w:ilvl w:val="0"/>
          <w:numId w:val="5"/>
        </w:numPr>
        <w:rPr>
          <w:rFonts w:ascii="Cambria" w:hAnsi="Cambria" w:cs="Times New Roman"/>
          <w:sz w:val="24"/>
          <w:szCs w:val="24"/>
        </w:rPr>
      </w:pPr>
      <w:r w:rsidRPr="008775D5">
        <w:rPr>
          <w:rFonts w:ascii="Cambria" w:hAnsi="Cambria" w:cs="Times New Roman"/>
          <w:sz w:val="24"/>
          <w:szCs w:val="24"/>
        </w:rPr>
        <w:t>Izmjene MRS 37</w:t>
      </w:r>
      <w:r w:rsidR="006C2C4A" w:rsidRPr="008775D5">
        <w:rPr>
          <w:rFonts w:ascii="Cambria" w:hAnsi="Cambria" w:cs="Times New Roman"/>
          <w:sz w:val="24"/>
          <w:szCs w:val="24"/>
        </w:rPr>
        <w:t xml:space="preserve"> „Rezervisanja, potencijalne obaveze i potencijalna imovina“ – Štetni ugovori – Troškovi ispunjenja ugovora</w:t>
      </w:r>
      <w:r w:rsidRPr="008775D5">
        <w:rPr>
          <w:rFonts w:ascii="Cambria" w:hAnsi="Cambria" w:cs="Times New Roman"/>
          <w:sz w:val="24"/>
          <w:szCs w:val="24"/>
        </w:rPr>
        <w:t xml:space="preserve"> (na snazi za godišnje periode koji počinju na dan ili nakon 1. januara 2022. godine); </w:t>
      </w:r>
    </w:p>
    <w:p w14:paraId="1C721955" w14:textId="3D9A9BAC" w:rsidR="009045A6" w:rsidRPr="008775D5" w:rsidRDefault="006C2C4A" w:rsidP="006C2C4A">
      <w:pPr>
        <w:pStyle w:val="ListParagraph"/>
        <w:numPr>
          <w:ilvl w:val="0"/>
          <w:numId w:val="5"/>
        </w:numPr>
        <w:shd w:val="clear" w:color="auto" w:fill="FFFFFF" w:themeFill="background1"/>
        <w:spacing w:line="240" w:lineRule="auto"/>
        <w:jc w:val="both"/>
        <w:rPr>
          <w:rFonts w:ascii="Cambria" w:hAnsi="Cambria" w:cs="Times New Roman"/>
          <w:sz w:val="24"/>
          <w:szCs w:val="24"/>
        </w:rPr>
      </w:pPr>
      <w:r w:rsidRPr="008775D5">
        <w:rPr>
          <w:rFonts w:ascii="Cambria" w:hAnsi="Cambria" w:cs="Times New Roman"/>
          <w:sz w:val="24"/>
          <w:szCs w:val="24"/>
        </w:rPr>
        <w:t xml:space="preserve">Izmjene i dopune različitih standarda zbog „Poboljšanja </w:t>
      </w:r>
      <w:r w:rsidR="009045A6" w:rsidRPr="008775D5">
        <w:rPr>
          <w:rFonts w:ascii="Cambria" w:hAnsi="Cambria" w:cs="Times New Roman"/>
          <w:sz w:val="24"/>
          <w:szCs w:val="24"/>
        </w:rPr>
        <w:t xml:space="preserve"> MSFI</w:t>
      </w:r>
      <w:r w:rsidRPr="008775D5">
        <w:rPr>
          <w:rFonts w:ascii="Cambria" w:hAnsi="Cambria" w:cs="Times New Roman"/>
          <w:sz w:val="24"/>
          <w:szCs w:val="24"/>
        </w:rPr>
        <w:t>-jeva</w:t>
      </w:r>
      <w:r w:rsidR="009045A6" w:rsidRPr="008775D5">
        <w:rPr>
          <w:rFonts w:ascii="Cambria" w:hAnsi="Cambria" w:cs="Times New Roman"/>
          <w:sz w:val="24"/>
          <w:szCs w:val="24"/>
        </w:rPr>
        <w:t xml:space="preserve"> </w:t>
      </w:r>
      <w:r w:rsidRPr="008775D5">
        <w:rPr>
          <w:rFonts w:ascii="Cambria" w:hAnsi="Cambria" w:cs="Times New Roman"/>
          <w:sz w:val="24"/>
          <w:szCs w:val="24"/>
        </w:rPr>
        <w:t>(</w:t>
      </w:r>
      <w:r w:rsidR="009045A6" w:rsidRPr="008775D5">
        <w:rPr>
          <w:rFonts w:ascii="Cambria" w:hAnsi="Cambria" w:cs="Times New Roman"/>
          <w:sz w:val="24"/>
          <w:szCs w:val="24"/>
        </w:rPr>
        <w:t>Ciklus 2018-2020</w:t>
      </w:r>
      <w:r w:rsidRPr="008775D5">
        <w:rPr>
          <w:rFonts w:ascii="Cambria" w:hAnsi="Cambria" w:cs="Times New Roman"/>
          <w:sz w:val="24"/>
          <w:szCs w:val="24"/>
        </w:rPr>
        <w:t>) koji proizlaze iz godišnjeg projekta poboljšanja</w:t>
      </w:r>
      <w:r w:rsidR="009045A6" w:rsidRPr="008775D5">
        <w:rPr>
          <w:rFonts w:ascii="Cambria" w:hAnsi="Cambria" w:cs="Times New Roman"/>
          <w:sz w:val="24"/>
          <w:szCs w:val="24"/>
        </w:rPr>
        <w:t xml:space="preserve"> </w:t>
      </w:r>
      <w:r w:rsidRPr="008775D5">
        <w:rPr>
          <w:rFonts w:ascii="Cambria" w:hAnsi="Cambria" w:cs="Times New Roman"/>
          <w:sz w:val="24"/>
          <w:szCs w:val="24"/>
        </w:rPr>
        <w:t>MSFI-jeva (</w:t>
      </w:r>
      <w:r w:rsidR="009045A6" w:rsidRPr="008775D5">
        <w:rPr>
          <w:rFonts w:ascii="Cambria" w:hAnsi="Cambria" w:cs="Times New Roman"/>
          <w:sz w:val="24"/>
          <w:szCs w:val="24"/>
        </w:rPr>
        <w:t xml:space="preserve"> MSFI 1, MSFI 9</w:t>
      </w:r>
      <w:r w:rsidR="006104AD" w:rsidRPr="008775D5">
        <w:rPr>
          <w:rFonts w:ascii="Cambria" w:hAnsi="Cambria" w:cs="Times New Roman"/>
          <w:sz w:val="24"/>
          <w:szCs w:val="24"/>
        </w:rPr>
        <w:t>, MSFI 16</w:t>
      </w:r>
      <w:r w:rsidR="009045A6" w:rsidRPr="008775D5">
        <w:rPr>
          <w:rFonts w:ascii="Cambria" w:hAnsi="Cambria" w:cs="Times New Roman"/>
          <w:sz w:val="24"/>
          <w:szCs w:val="24"/>
        </w:rPr>
        <w:t xml:space="preserve"> i MRS 41</w:t>
      </w:r>
      <w:r w:rsidR="006104AD" w:rsidRPr="008775D5">
        <w:rPr>
          <w:rFonts w:ascii="Cambria" w:hAnsi="Cambria" w:cs="Times New Roman"/>
          <w:sz w:val="24"/>
          <w:szCs w:val="24"/>
        </w:rPr>
        <w:t>) prvenstveno radi uklanjanja nedosljednosti i pojašnjavanja formulacija (Izmjene MSFI 1, MSFI 9 i MRS 41</w:t>
      </w:r>
      <w:r w:rsidR="009045A6" w:rsidRPr="008775D5">
        <w:rPr>
          <w:rFonts w:ascii="Cambria" w:hAnsi="Cambria" w:cs="Times New Roman"/>
          <w:sz w:val="24"/>
          <w:szCs w:val="24"/>
        </w:rPr>
        <w:t xml:space="preserve"> (na snazi za godišnje periode koji počinju na dan ili nakon 1. januara 202</w:t>
      </w:r>
      <w:r w:rsidR="006104AD" w:rsidRPr="008775D5">
        <w:rPr>
          <w:rFonts w:ascii="Cambria" w:hAnsi="Cambria" w:cs="Times New Roman"/>
          <w:sz w:val="24"/>
          <w:szCs w:val="24"/>
        </w:rPr>
        <w:t>2</w:t>
      </w:r>
      <w:r w:rsidR="009045A6" w:rsidRPr="008775D5">
        <w:rPr>
          <w:rFonts w:ascii="Cambria" w:hAnsi="Cambria" w:cs="Times New Roman"/>
          <w:sz w:val="24"/>
          <w:szCs w:val="24"/>
        </w:rPr>
        <w:t>. godine);</w:t>
      </w:r>
    </w:p>
    <w:p w14:paraId="726A6C95" w14:textId="6F52F4A4" w:rsidR="009045A6" w:rsidRPr="008775D5" w:rsidRDefault="009045A6" w:rsidP="009045A6">
      <w:pPr>
        <w:pStyle w:val="ListParagraph"/>
        <w:numPr>
          <w:ilvl w:val="0"/>
          <w:numId w:val="5"/>
        </w:numPr>
        <w:shd w:val="clear" w:color="auto" w:fill="FFFFFF" w:themeFill="background1"/>
        <w:spacing w:line="240" w:lineRule="auto"/>
        <w:jc w:val="both"/>
        <w:rPr>
          <w:rFonts w:ascii="Cambria" w:hAnsi="Cambria" w:cs="Times New Roman"/>
          <w:sz w:val="24"/>
          <w:szCs w:val="24"/>
        </w:rPr>
      </w:pPr>
      <w:r w:rsidRPr="008775D5">
        <w:rPr>
          <w:rFonts w:ascii="Cambria" w:hAnsi="Cambria" w:cs="Times New Roman"/>
          <w:sz w:val="24"/>
          <w:szCs w:val="24"/>
        </w:rPr>
        <w:t xml:space="preserve">Izmjene MSFI 3 </w:t>
      </w:r>
      <w:r w:rsidR="006C2C4A" w:rsidRPr="008775D5">
        <w:rPr>
          <w:rFonts w:ascii="Cambria" w:hAnsi="Cambria" w:cs="Times New Roman"/>
          <w:sz w:val="24"/>
          <w:szCs w:val="24"/>
        </w:rPr>
        <w:t>Poslovna spajanja – Reference i konceptualni okvir s izmjenama i dopunama MSFI 3</w:t>
      </w:r>
      <w:r w:rsidRPr="008775D5">
        <w:rPr>
          <w:rFonts w:ascii="Cambria" w:hAnsi="Cambria" w:cs="Times New Roman"/>
          <w:sz w:val="24"/>
          <w:szCs w:val="24"/>
        </w:rPr>
        <w:t xml:space="preserve"> </w:t>
      </w:r>
      <w:bookmarkStart w:id="5" w:name="_Hlk119321570"/>
      <w:r w:rsidRPr="008775D5">
        <w:rPr>
          <w:rFonts w:ascii="Cambria" w:hAnsi="Cambria" w:cs="Times New Roman"/>
          <w:sz w:val="24"/>
          <w:szCs w:val="24"/>
        </w:rPr>
        <w:t>(na snazi za godišnje periode koji počinju na dan ili nakon 1. januara 2022. godine);</w:t>
      </w:r>
    </w:p>
    <w:p w14:paraId="73CCC17D" w14:textId="77777777" w:rsidR="006104AD" w:rsidRPr="008775D5" w:rsidRDefault="006104AD" w:rsidP="009045A6">
      <w:pPr>
        <w:pStyle w:val="ListParagraph"/>
        <w:numPr>
          <w:ilvl w:val="0"/>
          <w:numId w:val="5"/>
        </w:numPr>
        <w:shd w:val="clear" w:color="auto" w:fill="FFFFFF" w:themeFill="background1"/>
        <w:spacing w:line="240" w:lineRule="auto"/>
        <w:jc w:val="both"/>
        <w:rPr>
          <w:rFonts w:ascii="Cambria" w:hAnsi="Cambria" w:cs="Times New Roman"/>
          <w:sz w:val="24"/>
          <w:szCs w:val="24"/>
        </w:rPr>
      </w:pPr>
      <w:r w:rsidRPr="008775D5">
        <w:rPr>
          <w:rFonts w:ascii="Cambria" w:hAnsi="Cambria" w:cs="Times New Roman"/>
          <w:sz w:val="24"/>
          <w:szCs w:val="24"/>
        </w:rPr>
        <w:t>Izmjene MSFI 4 „Ugovori o osiguranju“- Produženje privremenog izuzeća od primjene MSFI 9 (datum isteka privremenog izuzeća od MSFI 9 produžen je na godišnje periode koji počinju na ili nakon 1. januara 2023.)</w:t>
      </w:r>
    </w:p>
    <w:p w14:paraId="5C802BA4" w14:textId="08EB7F09" w:rsidR="006104AD" w:rsidRPr="008775D5" w:rsidRDefault="006104AD" w:rsidP="009045A6">
      <w:pPr>
        <w:pStyle w:val="ListParagraph"/>
        <w:numPr>
          <w:ilvl w:val="0"/>
          <w:numId w:val="5"/>
        </w:numPr>
        <w:shd w:val="clear" w:color="auto" w:fill="FFFFFF" w:themeFill="background1"/>
        <w:spacing w:line="240" w:lineRule="auto"/>
        <w:jc w:val="both"/>
        <w:rPr>
          <w:rFonts w:ascii="Cambria" w:hAnsi="Cambria" w:cs="Times New Roman"/>
          <w:sz w:val="24"/>
          <w:szCs w:val="24"/>
        </w:rPr>
      </w:pPr>
      <w:r w:rsidRPr="008775D5">
        <w:rPr>
          <w:rFonts w:ascii="Cambria" w:hAnsi="Cambria" w:cs="Times New Roman"/>
          <w:sz w:val="24"/>
          <w:szCs w:val="24"/>
        </w:rPr>
        <w:t>Izmjene MSFI 10 „Konsolidovani kinansijski izvještaji“ i MRS 28 „ulaganja u pridružena društva izajedničke poduhvate“- Prodaja ili doprinos imovine između investitora i njegove priduženosti društva ili zajedničkog poduhvata i dalje izm</w:t>
      </w:r>
      <w:r w:rsidR="00A71515" w:rsidRPr="008775D5">
        <w:rPr>
          <w:rFonts w:ascii="Cambria" w:hAnsi="Cambria" w:cs="Times New Roman"/>
          <w:sz w:val="24"/>
          <w:szCs w:val="24"/>
        </w:rPr>
        <w:t>jene i dopune (datum stupanja na snagu odložen na neodređeno vrijeme do okončanja istraživačkog projekta o kapitalnoj metodi).</w:t>
      </w:r>
      <w:r w:rsidRPr="008775D5">
        <w:rPr>
          <w:rFonts w:ascii="Cambria" w:hAnsi="Cambria" w:cs="Times New Roman"/>
          <w:sz w:val="24"/>
          <w:szCs w:val="24"/>
        </w:rPr>
        <w:t xml:space="preserve">  </w:t>
      </w:r>
    </w:p>
    <w:bookmarkEnd w:id="5"/>
    <w:p w14:paraId="1BF42BA1" w14:textId="560D7297" w:rsidR="00F20B77" w:rsidRPr="008775D5" w:rsidRDefault="00F20B77" w:rsidP="00F20B77">
      <w:pPr>
        <w:pStyle w:val="ListParagraph"/>
        <w:numPr>
          <w:ilvl w:val="0"/>
          <w:numId w:val="5"/>
        </w:numPr>
        <w:shd w:val="clear" w:color="auto" w:fill="FFFFFF" w:themeFill="background1"/>
        <w:spacing w:line="240" w:lineRule="auto"/>
        <w:jc w:val="both"/>
        <w:rPr>
          <w:rFonts w:ascii="Cambria" w:hAnsi="Cambria" w:cs="Times New Roman"/>
          <w:sz w:val="24"/>
          <w:szCs w:val="24"/>
        </w:rPr>
      </w:pPr>
      <w:r w:rsidRPr="008775D5">
        <w:rPr>
          <w:rFonts w:ascii="Cambria" w:hAnsi="Cambria" w:cs="Times New Roman"/>
          <w:sz w:val="24"/>
          <w:szCs w:val="24"/>
        </w:rPr>
        <w:t xml:space="preserve"> </w:t>
      </w:r>
      <w:r w:rsidR="009045A6" w:rsidRPr="008775D5">
        <w:rPr>
          <w:rFonts w:ascii="Cambria" w:hAnsi="Cambria" w:cs="Times New Roman"/>
          <w:sz w:val="24"/>
          <w:szCs w:val="24"/>
        </w:rPr>
        <w:t xml:space="preserve">Izmjene MRS 1 </w:t>
      </w:r>
      <w:r w:rsidRPr="008775D5">
        <w:rPr>
          <w:rFonts w:ascii="Cambria" w:hAnsi="Cambria" w:cs="Times New Roman"/>
          <w:sz w:val="24"/>
          <w:szCs w:val="24"/>
        </w:rPr>
        <w:t xml:space="preserve">u vezi sa objavljivanjem računovodstvenih politika u finansijskim izvještajima entiteta </w:t>
      </w:r>
      <w:bookmarkStart w:id="6" w:name="_Hlk119321641"/>
      <w:r w:rsidRPr="008775D5">
        <w:rPr>
          <w:rFonts w:ascii="Cambria" w:hAnsi="Cambria" w:cs="Times New Roman"/>
          <w:sz w:val="24"/>
          <w:szCs w:val="24"/>
        </w:rPr>
        <w:t>(na snazi za godišnje periode koji počinju na dan ili nakon 1. januara 2023. godine);</w:t>
      </w:r>
    </w:p>
    <w:bookmarkEnd w:id="6"/>
    <w:p w14:paraId="076C1303" w14:textId="1822D40C" w:rsidR="00F20B77" w:rsidRDefault="00F20B77" w:rsidP="00F20B77">
      <w:pPr>
        <w:pStyle w:val="ListParagraph"/>
        <w:numPr>
          <w:ilvl w:val="0"/>
          <w:numId w:val="5"/>
        </w:numPr>
        <w:shd w:val="clear" w:color="auto" w:fill="FFFFFF" w:themeFill="background1"/>
        <w:spacing w:line="240" w:lineRule="auto"/>
        <w:jc w:val="both"/>
        <w:rPr>
          <w:rFonts w:ascii="Cambria" w:hAnsi="Cambria" w:cs="Times New Roman"/>
          <w:sz w:val="24"/>
          <w:szCs w:val="24"/>
        </w:rPr>
      </w:pPr>
      <w:r w:rsidRPr="008775D5">
        <w:rPr>
          <w:rFonts w:ascii="Cambria" w:hAnsi="Cambria" w:cs="Times New Roman"/>
          <w:sz w:val="24"/>
          <w:szCs w:val="24"/>
        </w:rPr>
        <w:t>Izmjene MRS 8 u vezi sa definicijom računovodstvenih procjena(na snazi za godišnje periode koji počinju na dan ili nakon 1. januara 2023. godine).</w:t>
      </w:r>
    </w:p>
    <w:p w14:paraId="0B2D96DF" w14:textId="77777777" w:rsidR="00D254BB" w:rsidRPr="00D254BB" w:rsidRDefault="00D254BB" w:rsidP="00D254BB">
      <w:pPr>
        <w:pStyle w:val="ListParagraph"/>
        <w:shd w:val="clear" w:color="auto" w:fill="FFFFFF" w:themeFill="background1"/>
        <w:spacing w:line="240" w:lineRule="auto"/>
        <w:ind w:left="1140"/>
        <w:jc w:val="both"/>
        <w:rPr>
          <w:rFonts w:ascii="Cambria" w:hAnsi="Cambria" w:cs="Times New Roman"/>
          <w:sz w:val="24"/>
          <w:szCs w:val="24"/>
        </w:rPr>
      </w:pPr>
    </w:p>
    <w:bookmarkEnd w:id="1"/>
    <w:p w14:paraId="7FDF0164" w14:textId="24425F92" w:rsidR="00F20B77" w:rsidRPr="008775D5" w:rsidRDefault="00F20B77" w:rsidP="00D254BB">
      <w:pPr>
        <w:pStyle w:val="ListParagraph"/>
        <w:numPr>
          <w:ilvl w:val="1"/>
          <w:numId w:val="4"/>
        </w:numPr>
        <w:spacing w:after="120" w:line="240" w:lineRule="auto"/>
        <w:ind w:left="426"/>
        <w:jc w:val="both"/>
        <w:rPr>
          <w:rFonts w:ascii="Cambria" w:eastAsia="Times New Roman" w:hAnsi="Cambria" w:cs="Times New Roman"/>
          <w:b/>
          <w:bCs/>
          <w:noProof/>
          <w:sz w:val="24"/>
          <w:szCs w:val="24"/>
          <w:lang w:val="sr-Latn-BA" w:eastAsia="en-US"/>
        </w:rPr>
      </w:pPr>
      <w:r w:rsidRPr="008775D5">
        <w:rPr>
          <w:rFonts w:ascii="Cambria" w:eastAsia="Times New Roman" w:hAnsi="Cambria" w:cs="Times New Roman"/>
          <w:b/>
          <w:bCs/>
          <w:noProof/>
          <w:sz w:val="24"/>
          <w:szCs w:val="24"/>
          <w:lang w:val="sr-Latn-BA" w:eastAsia="en-US"/>
        </w:rPr>
        <w:t>Korišćenje procjenjivanja</w:t>
      </w:r>
    </w:p>
    <w:p w14:paraId="21593AF5" w14:textId="5DF98C6F" w:rsidR="002B030C" w:rsidRPr="008775D5" w:rsidRDefault="002B030C" w:rsidP="002B030C">
      <w:pPr>
        <w:spacing w:after="120" w:line="240" w:lineRule="auto"/>
        <w:jc w:val="both"/>
        <w:rPr>
          <w:rFonts w:ascii="Cambria" w:eastAsia="Times New Roman" w:hAnsi="Cambria" w:cs="Times New Roman"/>
          <w:noProof/>
          <w:sz w:val="24"/>
          <w:szCs w:val="24"/>
          <w:lang w:val="sr-Latn-BA" w:eastAsia="en-US"/>
        </w:rPr>
      </w:pPr>
      <w:r w:rsidRPr="008775D5">
        <w:rPr>
          <w:rFonts w:ascii="Cambria" w:eastAsia="Times New Roman" w:hAnsi="Cambria" w:cs="Times New Roman"/>
          <w:noProof/>
          <w:sz w:val="24"/>
          <w:szCs w:val="24"/>
          <w:lang w:val="sr-Latn-BA" w:eastAsia="en-US"/>
        </w:rPr>
        <w:t>Prezentacija finansijskih izvještaja zahtjeva od rukovodstva korišćenje najboljih mogućih procjena i razumnih pretpostavki, koje imaju efekta na prezentovane vrijednosti sredstava i obaveza i objelodanjivanje potencijalnih sredstava i obaveza na dan sastavljanja finansijskih izvještaja, kao i prihoda i rashoda u toku izvještajnog perioda. Ove procjene i pretpostavke su zasnovane na informacijama raspoloživim na dan sastavljanja finansijskih izvještaja, a budući stvarni rezultati mogu se razlikovati od procijenjenih iznosa.</w:t>
      </w:r>
    </w:p>
    <w:p w14:paraId="1083FAD8" w14:textId="77777777" w:rsidR="00E6679C" w:rsidRPr="008775D5" w:rsidRDefault="00E6679C" w:rsidP="00235D4F">
      <w:pPr>
        <w:spacing w:line="240" w:lineRule="auto"/>
        <w:jc w:val="both"/>
        <w:rPr>
          <w:rFonts w:ascii="Cambria" w:hAnsi="Cambria" w:cs="Times New Roman"/>
          <w:bCs/>
          <w:sz w:val="24"/>
          <w:szCs w:val="24"/>
        </w:rPr>
      </w:pPr>
    </w:p>
    <w:p w14:paraId="631AF319" w14:textId="4396A963" w:rsidR="005F3FA9" w:rsidRPr="008775D5" w:rsidRDefault="005F3FA9" w:rsidP="0083243E">
      <w:pPr>
        <w:spacing w:after="360" w:line="240" w:lineRule="auto"/>
        <w:jc w:val="both"/>
        <w:rPr>
          <w:rFonts w:ascii="Cambria" w:hAnsi="Cambria" w:cs="Times New Roman"/>
          <w:b/>
          <w:sz w:val="24"/>
          <w:szCs w:val="24"/>
        </w:rPr>
      </w:pPr>
      <w:r w:rsidRPr="008775D5">
        <w:rPr>
          <w:rFonts w:ascii="Cambria" w:hAnsi="Cambria" w:cs="Times New Roman"/>
          <w:b/>
          <w:sz w:val="24"/>
          <w:szCs w:val="24"/>
        </w:rPr>
        <w:lastRenderedPageBreak/>
        <w:t>3. PREGLED ZNAČAJNIH RAČUNOVODSTVENIH POLITIKA</w:t>
      </w:r>
    </w:p>
    <w:p w14:paraId="47FFB46C" w14:textId="37B95C71" w:rsidR="0083243E" w:rsidRPr="0083243E" w:rsidRDefault="005F3FA9" w:rsidP="0083243E">
      <w:pPr>
        <w:spacing w:after="360" w:line="240" w:lineRule="auto"/>
        <w:jc w:val="both"/>
        <w:rPr>
          <w:rFonts w:ascii="Cambria" w:hAnsi="Cambria" w:cs="Times New Roman"/>
          <w:sz w:val="24"/>
          <w:szCs w:val="24"/>
        </w:rPr>
      </w:pPr>
      <w:r w:rsidRPr="008775D5">
        <w:rPr>
          <w:rFonts w:ascii="Cambria" w:hAnsi="Cambria" w:cs="Times New Roman"/>
          <w:sz w:val="24"/>
          <w:szCs w:val="24"/>
        </w:rPr>
        <w:t>Računovodstvene politike date u nastavku Društvo konzistentno primjenjuje u svim period</w:t>
      </w:r>
      <w:r w:rsidR="007A630A" w:rsidRPr="008775D5">
        <w:rPr>
          <w:rFonts w:ascii="Cambria" w:hAnsi="Cambria" w:cs="Times New Roman"/>
          <w:sz w:val="24"/>
          <w:szCs w:val="24"/>
        </w:rPr>
        <w:t>ima prezentovanim</w:t>
      </w:r>
      <w:r w:rsidRPr="008775D5">
        <w:rPr>
          <w:rFonts w:ascii="Cambria" w:hAnsi="Cambria" w:cs="Times New Roman"/>
          <w:sz w:val="24"/>
          <w:szCs w:val="24"/>
        </w:rPr>
        <w:t xml:space="preserve"> u ovim finansijskim izvještajima. </w:t>
      </w:r>
    </w:p>
    <w:p w14:paraId="548DE64F" w14:textId="6DFE3C4A" w:rsidR="005F3FA9" w:rsidRPr="008775D5" w:rsidRDefault="005F3FA9" w:rsidP="0083243E">
      <w:pPr>
        <w:spacing w:line="240" w:lineRule="auto"/>
        <w:ind w:left="142" w:hanging="142"/>
        <w:jc w:val="both"/>
        <w:rPr>
          <w:rFonts w:ascii="Cambria" w:hAnsi="Cambria" w:cs="Times New Roman"/>
          <w:b/>
          <w:sz w:val="24"/>
          <w:szCs w:val="24"/>
        </w:rPr>
      </w:pPr>
      <w:r w:rsidRPr="008775D5">
        <w:rPr>
          <w:rFonts w:ascii="Cambria" w:hAnsi="Cambria" w:cs="Times New Roman"/>
          <w:b/>
          <w:sz w:val="24"/>
          <w:szCs w:val="24"/>
        </w:rPr>
        <w:t>3.</w:t>
      </w:r>
      <w:r w:rsidR="00837430" w:rsidRPr="008775D5">
        <w:rPr>
          <w:rFonts w:ascii="Cambria" w:hAnsi="Cambria" w:cs="Times New Roman"/>
          <w:b/>
          <w:sz w:val="24"/>
          <w:szCs w:val="24"/>
        </w:rPr>
        <w:t>1</w:t>
      </w:r>
      <w:r w:rsidRPr="008775D5">
        <w:rPr>
          <w:rFonts w:ascii="Cambria" w:hAnsi="Cambria" w:cs="Times New Roman"/>
          <w:b/>
          <w:sz w:val="24"/>
          <w:szCs w:val="24"/>
        </w:rPr>
        <w:t>.</w:t>
      </w:r>
      <w:r w:rsidR="0083243E">
        <w:rPr>
          <w:rFonts w:ascii="Cambria" w:hAnsi="Cambria" w:cs="Times New Roman"/>
          <w:b/>
          <w:sz w:val="24"/>
          <w:szCs w:val="24"/>
        </w:rPr>
        <w:t xml:space="preserve">    </w:t>
      </w:r>
      <w:r w:rsidRPr="008775D5">
        <w:rPr>
          <w:rFonts w:ascii="Cambria" w:hAnsi="Cambria" w:cs="Times New Roman"/>
          <w:b/>
          <w:sz w:val="24"/>
          <w:szCs w:val="24"/>
        </w:rPr>
        <w:t xml:space="preserve">Poslovne promene u stranoj valuti </w:t>
      </w:r>
    </w:p>
    <w:p w14:paraId="7D6DC734" w14:textId="67FF4D5A" w:rsidR="00CE0AE0" w:rsidRPr="008775D5" w:rsidRDefault="00CE0AE0" w:rsidP="0083243E">
      <w:pPr>
        <w:pStyle w:val="Default"/>
        <w:jc w:val="both"/>
        <w:rPr>
          <w:rFonts w:ascii="Cambria" w:hAnsi="Cambria" w:cs="Times New Roman"/>
          <w:color w:val="auto"/>
        </w:rPr>
      </w:pPr>
      <w:proofErr w:type="spellStart"/>
      <w:r w:rsidRPr="008775D5">
        <w:rPr>
          <w:rFonts w:ascii="Cambria" w:hAnsi="Cambria" w:cs="Times New Roman"/>
          <w:color w:val="auto"/>
        </w:rPr>
        <w:t>Poslovne</w:t>
      </w:r>
      <w:proofErr w:type="spellEnd"/>
      <w:r w:rsidRPr="008775D5">
        <w:rPr>
          <w:rFonts w:ascii="Cambria" w:hAnsi="Cambria" w:cs="Times New Roman"/>
          <w:color w:val="auto"/>
        </w:rPr>
        <w:t xml:space="preserve"> </w:t>
      </w:r>
      <w:proofErr w:type="spellStart"/>
      <w:r w:rsidRPr="008775D5">
        <w:rPr>
          <w:rFonts w:ascii="Cambria" w:hAnsi="Cambria" w:cs="Times New Roman"/>
          <w:color w:val="auto"/>
        </w:rPr>
        <w:t>promjene</w:t>
      </w:r>
      <w:proofErr w:type="spellEnd"/>
      <w:r w:rsidRPr="008775D5">
        <w:rPr>
          <w:rFonts w:ascii="Cambria" w:hAnsi="Cambria" w:cs="Times New Roman"/>
          <w:color w:val="auto"/>
        </w:rPr>
        <w:t xml:space="preserve"> </w:t>
      </w:r>
      <w:proofErr w:type="spellStart"/>
      <w:r w:rsidRPr="008775D5">
        <w:rPr>
          <w:rFonts w:ascii="Cambria" w:hAnsi="Cambria" w:cs="Times New Roman"/>
          <w:color w:val="auto"/>
        </w:rPr>
        <w:t>nastale</w:t>
      </w:r>
      <w:proofErr w:type="spellEnd"/>
      <w:r w:rsidRPr="008775D5">
        <w:rPr>
          <w:rFonts w:ascii="Cambria" w:hAnsi="Cambria" w:cs="Times New Roman"/>
          <w:color w:val="auto"/>
        </w:rPr>
        <w:t xml:space="preserve"> u </w:t>
      </w:r>
      <w:proofErr w:type="spellStart"/>
      <w:r w:rsidRPr="008775D5">
        <w:rPr>
          <w:rFonts w:ascii="Cambria" w:hAnsi="Cambria" w:cs="Times New Roman"/>
          <w:color w:val="auto"/>
        </w:rPr>
        <w:t>stranoj</w:t>
      </w:r>
      <w:proofErr w:type="spellEnd"/>
      <w:r w:rsidRPr="008775D5">
        <w:rPr>
          <w:rFonts w:ascii="Cambria" w:hAnsi="Cambria" w:cs="Times New Roman"/>
          <w:color w:val="auto"/>
        </w:rPr>
        <w:t xml:space="preserve"> </w:t>
      </w:r>
      <w:proofErr w:type="spellStart"/>
      <w:r w:rsidRPr="008775D5">
        <w:rPr>
          <w:rFonts w:ascii="Cambria" w:hAnsi="Cambria" w:cs="Times New Roman"/>
          <w:color w:val="auto"/>
        </w:rPr>
        <w:t>valuti</w:t>
      </w:r>
      <w:proofErr w:type="spellEnd"/>
      <w:r w:rsidRPr="008775D5">
        <w:rPr>
          <w:rFonts w:ascii="Cambria" w:hAnsi="Cambria" w:cs="Times New Roman"/>
          <w:color w:val="auto"/>
        </w:rPr>
        <w:t xml:space="preserve"> </w:t>
      </w:r>
      <w:proofErr w:type="spellStart"/>
      <w:r w:rsidRPr="008775D5">
        <w:rPr>
          <w:rFonts w:ascii="Cambria" w:hAnsi="Cambria" w:cs="Times New Roman"/>
          <w:color w:val="auto"/>
        </w:rPr>
        <w:t>su</w:t>
      </w:r>
      <w:proofErr w:type="spellEnd"/>
      <w:r w:rsidRPr="008775D5">
        <w:rPr>
          <w:rFonts w:ascii="Cambria" w:hAnsi="Cambria" w:cs="Times New Roman"/>
          <w:color w:val="auto"/>
        </w:rPr>
        <w:t xml:space="preserve"> </w:t>
      </w:r>
      <w:proofErr w:type="spellStart"/>
      <w:r w:rsidRPr="008775D5">
        <w:rPr>
          <w:rFonts w:ascii="Cambria" w:hAnsi="Cambria" w:cs="Times New Roman"/>
          <w:color w:val="auto"/>
        </w:rPr>
        <w:t>preračunate</w:t>
      </w:r>
      <w:proofErr w:type="spellEnd"/>
      <w:r w:rsidRPr="008775D5">
        <w:rPr>
          <w:rFonts w:ascii="Cambria" w:hAnsi="Cambria" w:cs="Times New Roman"/>
          <w:color w:val="auto"/>
        </w:rPr>
        <w:t xml:space="preserve"> u KM po </w:t>
      </w:r>
      <w:proofErr w:type="spellStart"/>
      <w:r w:rsidR="00837430" w:rsidRPr="008775D5">
        <w:rPr>
          <w:rFonts w:ascii="Cambria" w:hAnsi="Cambria" w:cs="Times New Roman"/>
          <w:color w:val="auto"/>
        </w:rPr>
        <w:t>srednjem</w:t>
      </w:r>
      <w:proofErr w:type="spellEnd"/>
      <w:r w:rsidRPr="008775D5">
        <w:rPr>
          <w:rFonts w:ascii="Cambria" w:hAnsi="Cambria" w:cs="Times New Roman"/>
          <w:color w:val="auto"/>
        </w:rPr>
        <w:t xml:space="preserve"> </w:t>
      </w:r>
      <w:proofErr w:type="spellStart"/>
      <w:r w:rsidRPr="008775D5">
        <w:rPr>
          <w:rFonts w:ascii="Cambria" w:hAnsi="Cambria" w:cs="Times New Roman"/>
          <w:color w:val="auto"/>
        </w:rPr>
        <w:t>kursu</w:t>
      </w:r>
      <w:proofErr w:type="spellEnd"/>
      <w:r w:rsidRPr="008775D5">
        <w:rPr>
          <w:rFonts w:ascii="Cambria" w:hAnsi="Cambria" w:cs="Times New Roman"/>
          <w:color w:val="auto"/>
        </w:rPr>
        <w:t xml:space="preserve"> </w:t>
      </w:r>
      <w:proofErr w:type="spellStart"/>
      <w:r w:rsidR="00837430" w:rsidRPr="008775D5">
        <w:rPr>
          <w:rFonts w:ascii="Cambria" w:hAnsi="Cambria" w:cs="Times New Roman"/>
          <w:color w:val="auto"/>
        </w:rPr>
        <w:t>valute</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utvr</w:t>
      </w:r>
      <w:r w:rsidR="00553A3A" w:rsidRPr="008775D5">
        <w:rPr>
          <w:rFonts w:ascii="Cambria" w:hAnsi="Cambria" w:cs="Times New Roman"/>
          <w:color w:val="auto"/>
        </w:rPr>
        <w:t>đ</w:t>
      </w:r>
      <w:r w:rsidR="00837430" w:rsidRPr="008775D5">
        <w:rPr>
          <w:rFonts w:ascii="Cambria" w:hAnsi="Cambria" w:cs="Times New Roman"/>
          <w:color w:val="auto"/>
        </w:rPr>
        <w:t>enom</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na</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međubankarskom</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tržištu</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deviza</w:t>
      </w:r>
      <w:proofErr w:type="spellEnd"/>
      <w:r w:rsidR="00837430" w:rsidRPr="008775D5">
        <w:rPr>
          <w:rFonts w:ascii="Cambria" w:hAnsi="Cambria" w:cs="Times New Roman"/>
          <w:color w:val="auto"/>
        </w:rPr>
        <w:t xml:space="preserve">, koji je </w:t>
      </w:r>
      <w:proofErr w:type="spellStart"/>
      <w:r w:rsidR="00837430" w:rsidRPr="008775D5">
        <w:rPr>
          <w:rFonts w:ascii="Cambria" w:hAnsi="Cambria" w:cs="Times New Roman"/>
          <w:color w:val="auto"/>
        </w:rPr>
        <w:t>važio</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na</w:t>
      </w:r>
      <w:proofErr w:type="spellEnd"/>
      <w:r w:rsidR="00837430" w:rsidRPr="008775D5">
        <w:rPr>
          <w:rFonts w:ascii="Cambria" w:hAnsi="Cambria" w:cs="Times New Roman"/>
          <w:color w:val="auto"/>
        </w:rPr>
        <w:t xml:space="preserve"> dan </w:t>
      </w:r>
      <w:proofErr w:type="spellStart"/>
      <w:r w:rsidR="00837430" w:rsidRPr="008775D5">
        <w:rPr>
          <w:rFonts w:ascii="Cambria" w:hAnsi="Cambria" w:cs="Times New Roman"/>
          <w:color w:val="auto"/>
        </w:rPr>
        <w:t>poslovne</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promjene</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Monetarne</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pozicije</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iskazane</w:t>
      </w:r>
      <w:proofErr w:type="spellEnd"/>
      <w:r w:rsidR="00837430" w:rsidRPr="008775D5">
        <w:rPr>
          <w:rFonts w:ascii="Cambria" w:hAnsi="Cambria" w:cs="Times New Roman"/>
          <w:color w:val="auto"/>
        </w:rPr>
        <w:t xml:space="preserve"> u </w:t>
      </w:r>
      <w:proofErr w:type="spellStart"/>
      <w:r w:rsidR="00837430" w:rsidRPr="008775D5">
        <w:rPr>
          <w:rFonts w:ascii="Cambria" w:hAnsi="Cambria" w:cs="Times New Roman"/>
          <w:color w:val="auto"/>
        </w:rPr>
        <w:t>stranoj</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valuti</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na</w:t>
      </w:r>
      <w:proofErr w:type="spellEnd"/>
      <w:r w:rsidR="00837430" w:rsidRPr="008775D5">
        <w:rPr>
          <w:rFonts w:ascii="Cambria" w:hAnsi="Cambria" w:cs="Times New Roman"/>
          <w:color w:val="auto"/>
        </w:rPr>
        <w:t xml:space="preserve"> dan </w:t>
      </w:r>
      <w:proofErr w:type="spellStart"/>
      <w:r w:rsidR="00837430" w:rsidRPr="008775D5">
        <w:rPr>
          <w:rFonts w:ascii="Cambria" w:hAnsi="Cambria" w:cs="Times New Roman"/>
          <w:color w:val="auto"/>
        </w:rPr>
        <w:t>bilansa</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stanja</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preračunate</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su</w:t>
      </w:r>
      <w:proofErr w:type="spellEnd"/>
      <w:r w:rsidR="00837430" w:rsidRPr="008775D5">
        <w:rPr>
          <w:rFonts w:ascii="Cambria" w:hAnsi="Cambria" w:cs="Times New Roman"/>
          <w:color w:val="auto"/>
        </w:rPr>
        <w:t xml:space="preserve"> u KM </w:t>
      </w:r>
      <w:proofErr w:type="spellStart"/>
      <w:r w:rsidR="00837430" w:rsidRPr="008775D5">
        <w:rPr>
          <w:rFonts w:ascii="Cambria" w:hAnsi="Cambria" w:cs="Times New Roman"/>
          <w:color w:val="auto"/>
        </w:rPr>
        <w:t>prema</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srednjem</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kursu</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utvrđenom</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na</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međubankarskom</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tržištu</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deviza</w:t>
      </w:r>
      <w:proofErr w:type="spellEnd"/>
      <w:r w:rsidR="00837430" w:rsidRPr="008775D5">
        <w:rPr>
          <w:rFonts w:ascii="Cambria" w:hAnsi="Cambria" w:cs="Times New Roman"/>
          <w:color w:val="auto"/>
        </w:rPr>
        <w:t xml:space="preserve">, koji je </w:t>
      </w:r>
      <w:proofErr w:type="spellStart"/>
      <w:r w:rsidR="00837430" w:rsidRPr="008775D5">
        <w:rPr>
          <w:rFonts w:ascii="Cambria" w:hAnsi="Cambria" w:cs="Times New Roman"/>
          <w:color w:val="auto"/>
        </w:rPr>
        <w:t>važio</w:t>
      </w:r>
      <w:proofErr w:type="spellEnd"/>
      <w:r w:rsidR="00837430" w:rsidRPr="008775D5">
        <w:rPr>
          <w:rFonts w:ascii="Cambria" w:hAnsi="Cambria" w:cs="Times New Roman"/>
          <w:color w:val="auto"/>
        </w:rPr>
        <w:t xml:space="preserve"> na dan </w:t>
      </w:r>
      <w:proofErr w:type="spellStart"/>
      <w:r w:rsidR="00837430" w:rsidRPr="008775D5">
        <w:rPr>
          <w:rFonts w:ascii="Cambria" w:hAnsi="Cambria" w:cs="Times New Roman"/>
          <w:color w:val="auto"/>
        </w:rPr>
        <w:t>bilansa</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Nemonetarne</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pozicije</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preračunate</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su</w:t>
      </w:r>
      <w:proofErr w:type="spellEnd"/>
      <w:r w:rsidR="00837430" w:rsidRPr="008775D5">
        <w:rPr>
          <w:rFonts w:ascii="Cambria" w:hAnsi="Cambria" w:cs="Times New Roman"/>
          <w:color w:val="auto"/>
        </w:rPr>
        <w:t xml:space="preserve"> u KM </w:t>
      </w:r>
      <w:proofErr w:type="spellStart"/>
      <w:r w:rsidR="00837430" w:rsidRPr="008775D5">
        <w:rPr>
          <w:rFonts w:ascii="Cambria" w:hAnsi="Cambria" w:cs="Times New Roman"/>
          <w:color w:val="auto"/>
        </w:rPr>
        <w:t>prema</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srednjem</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kursu</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valute</w:t>
      </w:r>
      <w:proofErr w:type="spellEnd"/>
      <w:r w:rsidR="00837430" w:rsidRPr="008775D5">
        <w:rPr>
          <w:rFonts w:ascii="Cambria" w:hAnsi="Cambria" w:cs="Times New Roman"/>
          <w:color w:val="auto"/>
        </w:rPr>
        <w:t xml:space="preserve"> koji je </w:t>
      </w:r>
      <w:proofErr w:type="spellStart"/>
      <w:r w:rsidR="00837430" w:rsidRPr="008775D5">
        <w:rPr>
          <w:rFonts w:ascii="Cambria" w:hAnsi="Cambria" w:cs="Times New Roman"/>
          <w:color w:val="auto"/>
        </w:rPr>
        <w:t>važio</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na</w:t>
      </w:r>
      <w:proofErr w:type="spellEnd"/>
      <w:r w:rsidR="00837430" w:rsidRPr="008775D5">
        <w:rPr>
          <w:rFonts w:ascii="Cambria" w:hAnsi="Cambria" w:cs="Times New Roman"/>
          <w:color w:val="auto"/>
        </w:rPr>
        <w:t xml:space="preserve"> dan </w:t>
      </w:r>
      <w:proofErr w:type="spellStart"/>
      <w:r w:rsidR="00837430" w:rsidRPr="008775D5">
        <w:rPr>
          <w:rFonts w:ascii="Cambria" w:hAnsi="Cambria" w:cs="Times New Roman"/>
          <w:color w:val="auto"/>
        </w:rPr>
        <w:t>poslovne</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promjene</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Pozitivne</w:t>
      </w:r>
      <w:proofErr w:type="spellEnd"/>
      <w:r w:rsidR="00837430" w:rsidRPr="008775D5">
        <w:rPr>
          <w:rFonts w:ascii="Cambria" w:hAnsi="Cambria" w:cs="Times New Roman"/>
          <w:color w:val="auto"/>
        </w:rPr>
        <w:t xml:space="preserve"> </w:t>
      </w:r>
      <w:proofErr w:type="spellStart"/>
      <w:r w:rsidR="00553A3A" w:rsidRPr="008775D5">
        <w:rPr>
          <w:rFonts w:ascii="Cambria" w:hAnsi="Cambria" w:cs="Times New Roman"/>
          <w:color w:val="auto"/>
        </w:rPr>
        <w:t>i</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negativne</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kursne</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razlike</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nastale</w:t>
      </w:r>
      <w:proofErr w:type="spellEnd"/>
      <w:r w:rsidR="00837430" w:rsidRPr="008775D5">
        <w:rPr>
          <w:rFonts w:ascii="Cambria" w:hAnsi="Cambria" w:cs="Times New Roman"/>
          <w:color w:val="auto"/>
        </w:rPr>
        <w:t xml:space="preserve"> po </w:t>
      </w:r>
      <w:proofErr w:type="spellStart"/>
      <w:r w:rsidR="00837430" w:rsidRPr="008775D5">
        <w:rPr>
          <w:rFonts w:ascii="Cambria" w:hAnsi="Cambria" w:cs="Times New Roman"/>
          <w:color w:val="auto"/>
        </w:rPr>
        <w:t>osnovu</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izvršenih</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plaćanja</w:t>
      </w:r>
      <w:proofErr w:type="spellEnd"/>
      <w:r w:rsidR="00837430" w:rsidRPr="008775D5">
        <w:rPr>
          <w:rFonts w:ascii="Cambria" w:hAnsi="Cambria" w:cs="Times New Roman"/>
          <w:color w:val="auto"/>
        </w:rPr>
        <w:t xml:space="preserve"> </w:t>
      </w:r>
      <w:proofErr w:type="spellStart"/>
      <w:r w:rsidR="00553A3A" w:rsidRPr="008775D5">
        <w:rPr>
          <w:rFonts w:ascii="Cambria" w:hAnsi="Cambria" w:cs="Times New Roman"/>
          <w:color w:val="auto"/>
        </w:rPr>
        <w:t>i</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naplata</w:t>
      </w:r>
      <w:proofErr w:type="spellEnd"/>
      <w:r w:rsidR="00837430" w:rsidRPr="008775D5">
        <w:rPr>
          <w:rFonts w:ascii="Cambria" w:hAnsi="Cambria" w:cs="Times New Roman"/>
          <w:color w:val="auto"/>
        </w:rPr>
        <w:t xml:space="preserve"> u </w:t>
      </w:r>
      <w:proofErr w:type="spellStart"/>
      <w:r w:rsidR="00837430" w:rsidRPr="008775D5">
        <w:rPr>
          <w:rFonts w:ascii="Cambria" w:hAnsi="Cambria" w:cs="Times New Roman"/>
          <w:color w:val="auto"/>
        </w:rPr>
        <w:t>stranim</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sredstvima</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plaćanja</w:t>
      </w:r>
      <w:proofErr w:type="spellEnd"/>
      <w:r w:rsidR="00837430" w:rsidRPr="008775D5">
        <w:rPr>
          <w:rFonts w:ascii="Cambria" w:hAnsi="Cambria" w:cs="Times New Roman"/>
          <w:color w:val="auto"/>
        </w:rPr>
        <w:t xml:space="preserve"> u </w:t>
      </w:r>
      <w:proofErr w:type="spellStart"/>
      <w:r w:rsidR="00837430" w:rsidRPr="008775D5">
        <w:rPr>
          <w:rFonts w:ascii="Cambria" w:hAnsi="Cambria" w:cs="Times New Roman"/>
          <w:color w:val="auto"/>
        </w:rPr>
        <w:t>toku</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godine</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kao</w:t>
      </w:r>
      <w:proofErr w:type="spellEnd"/>
      <w:r w:rsidR="00837430" w:rsidRPr="008775D5">
        <w:rPr>
          <w:rFonts w:ascii="Cambria" w:hAnsi="Cambria" w:cs="Times New Roman"/>
          <w:color w:val="auto"/>
        </w:rPr>
        <w:t xml:space="preserve"> </w:t>
      </w:r>
      <w:proofErr w:type="spellStart"/>
      <w:r w:rsidR="00553A3A" w:rsidRPr="008775D5">
        <w:rPr>
          <w:rFonts w:ascii="Cambria" w:hAnsi="Cambria" w:cs="Times New Roman"/>
          <w:color w:val="auto"/>
        </w:rPr>
        <w:t>i</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kursne</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razlike</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nastale</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prilikom</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prevođenja</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sredstava</w:t>
      </w:r>
      <w:proofErr w:type="spellEnd"/>
      <w:r w:rsidR="00837430" w:rsidRPr="008775D5">
        <w:rPr>
          <w:rFonts w:ascii="Cambria" w:hAnsi="Cambria" w:cs="Times New Roman"/>
          <w:color w:val="auto"/>
        </w:rPr>
        <w:t xml:space="preserve"> </w:t>
      </w:r>
      <w:proofErr w:type="spellStart"/>
      <w:r w:rsidR="00553A3A" w:rsidRPr="008775D5">
        <w:rPr>
          <w:rFonts w:ascii="Cambria" w:hAnsi="Cambria" w:cs="Times New Roman"/>
          <w:color w:val="auto"/>
        </w:rPr>
        <w:t>i</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obaveza</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iskazanih</w:t>
      </w:r>
      <w:proofErr w:type="spellEnd"/>
      <w:r w:rsidR="00837430" w:rsidRPr="008775D5">
        <w:rPr>
          <w:rFonts w:ascii="Cambria" w:hAnsi="Cambria" w:cs="Times New Roman"/>
          <w:color w:val="auto"/>
        </w:rPr>
        <w:t xml:space="preserve"> u </w:t>
      </w:r>
      <w:proofErr w:type="spellStart"/>
      <w:r w:rsidR="00837430" w:rsidRPr="008775D5">
        <w:rPr>
          <w:rFonts w:ascii="Cambria" w:hAnsi="Cambria" w:cs="Times New Roman"/>
          <w:color w:val="auto"/>
        </w:rPr>
        <w:t>stranoj</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valuti</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na</w:t>
      </w:r>
      <w:proofErr w:type="spellEnd"/>
      <w:r w:rsidR="00837430" w:rsidRPr="008775D5">
        <w:rPr>
          <w:rFonts w:ascii="Cambria" w:hAnsi="Cambria" w:cs="Times New Roman"/>
          <w:color w:val="auto"/>
        </w:rPr>
        <w:t xml:space="preserve"> dan </w:t>
      </w:r>
      <w:proofErr w:type="spellStart"/>
      <w:r w:rsidR="00837430" w:rsidRPr="008775D5">
        <w:rPr>
          <w:rFonts w:ascii="Cambria" w:hAnsi="Cambria" w:cs="Times New Roman"/>
          <w:color w:val="auto"/>
        </w:rPr>
        <w:t>bilansa</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iskazuju</w:t>
      </w:r>
      <w:proofErr w:type="spellEnd"/>
      <w:r w:rsidR="00837430" w:rsidRPr="008775D5">
        <w:rPr>
          <w:rFonts w:ascii="Cambria" w:hAnsi="Cambria" w:cs="Times New Roman"/>
          <w:color w:val="auto"/>
        </w:rPr>
        <w:t xml:space="preserve"> se u </w:t>
      </w:r>
      <w:proofErr w:type="spellStart"/>
      <w:r w:rsidR="00837430" w:rsidRPr="008775D5">
        <w:rPr>
          <w:rFonts w:ascii="Cambria" w:hAnsi="Cambria" w:cs="Times New Roman"/>
          <w:color w:val="auto"/>
        </w:rPr>
        <w:t>bilansu</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uspjeha</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Društva</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kao</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prihodi</w:t>
      </w:r>
      <w:proofErr w:type="spellEnd"/>
      <w:r w:rsidR="00837430" w:rsidRPr="008775D5">
        <w:rPr>
          <w:rFonts w:ascii="Cambria" w:hAnsi="Cambria" w:cs="Times New Roman"/>
          <w:color w:val="auto"/>
        </w:rPr>
        <w:t>/</w:t>
      </w:r>
      <w:proofErr w:type="spellStart"/>
      <w:r w:rsidR="00837430" w:rsidRPr="008775D5">
        <w:rPr>
          <w:rFonts w:ascii="Cambria" w:hAnsi="Cambria" w:cs="Times New Roman"/>
          <w:color w:val="auto"/>
        </w:rPr>
        <w:t>rashodi</w:t>
      </w:r>
      <w:proofErr w:type="spellEnd"/>
      <w:r w:rsidR="00837430" w:rsidRPr="008775D5">
        <w:rPr>
          <w:rFonts w:ascii="Cambria" w:hAnsi="Cambria" w:cs="Times New Roman"/>
          <w:color w:val="auto"/>
        </w:rPr>
        <w:t xml:space="preserve"> po </w:t>
      </w:r>
      <w:proofErr w:type="spellStart"/>
      <w:r w:rsidR="00837430" w:rsidRPr="008775D5">
        <w:rPr>
          <w:rFonts w:ascii="Cambria" w:hAnsi="Cambria" w:cs="Times New Roman"/>
          <w:color w:val="auto"/>
        </w:rPr>
        <w:t>osnovu</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kursnih</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razlika</w:t>
      </w:r>
      <w:proofErr w:type="spellEnd"/>
      <w:r w:rsidR="00837430" w:rsidRPr="008775D5">
        <w:rPr>
          <w:rFonts w:ascii="Cambria" w:hAnsi="Cambria" w:cs="Times New Roman"/>
          <w:color w:val="auto"/>
        </w:rPr>
        <w:t xml:space="preserve"> u </w:t>
      </w:r>
      <w:proofErr w:type="spellStart"/>
      <w:r w:rsidR="00837430" w:rsidRPr="008775D5">
        <w:rPr>
          <w:rFonts w:ascii="Cambria" w:hAnsi="Cambria" w:cs="Times New Roman"/>
          <w:color w:val="auto"/>
        </w:rPr>
        <w:t>okviru</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pozicije</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finansijskih</w:t>
      </w:r>
      <w:proofErr w:type="spellEnd"/>
      <w:r w:rsidR="00837430" w:rsidRPr="008775D5">
        <w:rPr>
          <w:rFonts w:ascii="Cambria" w:hAnsi="Cambria" w:cs="Times New Roman"/>
          <w:color w:val="auto"/>
        </w:rPr>
        <w:t xml:space="preserve">   </w:t>
      </w:r>
      <w:proofErr w:type="spellStart"/>
      <w:r w:rsidR="00553A3A" w:rsidRPr="008775D5">
        <w:rPr>
          <w:rFonts w:ascii="Cambria" w:hAnsi="Cambria" w:cs="Times New Roman"/>
          <w:color w:val="auto"/>
        </w:rPr>
        <w:t>p</w:t>
      </w:r>
      <w:r w:rsidR="00837430" w:rsidRPr="008775D5">
        <w:rPr>
          <w:rFonts w:ascii="Cambria" w:hAnsi="Cambria" w:cs="Times New Roman"/>
          <w:color w:val="auto"/>
        </w:rPr>
        <w:t>rihoda</w:t>
      </w:r>
      <w:proofErr w:type="spellEnd"/>
      <w:r w:rsidR="00837430" w:rsidRPr="008775D5">
        <w:rPr>
          <w:rFonts w:ascii="Cambria" w:hAnsi="Cambria" w:cs="Times New Roman"/>
          <w:color w:val="auto"/>
        </w:rPr>
        <w:t>/</w:t>
      </w:r>
      <w:proofErr w:type="spellStart"/>
      <w:r w:rsidR="00837430" w:rsidRPr="008775D5">
        <w:rPr>
          <w:rFonts w:ascii="Cambria" w:hAnsi="Cambria" w:cs="Times New Roman"/>
          <w:color w:val="auto"/>
        </w:rPr>
        <w:t>rashoda</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Potraživanja</w:t>
      </w:r>
      <w:proofErr w:type="spellEnd"/>
      <w:r w:rsidR="00837430" w:rsidRPr="008775D5">
        <w:rPr>
          <w:rFonts w:ascii="Cambria" w:hAnsi="Cambria" w:cs="Times New Roman"/>
          <w:color w:val="auto"/>
        </w:rPr>
        <w:t xml:space="preserve"> u </w:t>
      </w:r>
      <w:proofErr w:type="spellStart"/>
      <w:r w:rsidR="00837430" w:rsidRPr="008775D5">
        <w:rPr>
          <w:rFonts w:ascii="Cambria" w:hAnsi="Cambria" w:cs="Times New Roman"/>
          <w:color w:val="auto"/>
        </w:rPr>
        <w:t>koje</w:t>
      </w:r>
      <w:proofErr w:type="spellEnd"/>
      <w:r w:rsidR="00837430" w:rsidRPr="008775D5">
        <w:rPr>
          <w:rFonts w:ascii="Cambria" w:hAnsi="Cambria" w:cs="Times New Roman"/>
          <w:color w:val="auto"/>
        </w:rPr>
        <w:t xml:space="preserve"> je </w:t>
      </w:r>
      <w:proofErr w:type="spellStart"/>
      <w:r w:rsidR="00837430" w:rsidRPr="008775D5">
        <w:rPr>
          <w:rFonts w:ascii="Cambria" w:hAnsi="Cambria" w:cs="Times New Roman"/>
          <w:color w:val="auto"/>
        </w:rPr>
        <w:t>ugrađena</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valutna</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klauzula</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preračunata</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su</w:t>
      </w:r>
      <w:proofErr w:type="spellEnd"/>
      <w:r w:rsidR="00837430" w:rsidRPr="008775D5">
        <w:rPr>
          <w:rFonts w:ascii="Cambria" w:hAnsi="Cambria" w:cs="Times New Roman"/>
          <w:color w:val="auto"/>
        </w:rPr>
        <w:t xml:space="preserve"> u KM po </w:t>
      </w:r>
      <w:proofErr w:type="spellStart"/>
      <w:r w:rsidR="00837430" w:rsidRPr="008775D5">
        <w:rPr>
          <w:rFonts w:ascii="Cambria" w:hAnsi="Cambria" w:cs="Times New Roman"/>
          <w:color w:val="auto"/>
        </w:rPr>
        <w:t>srednjem</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kursu</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valute</w:t>
      </w:r>
      <w:proofErr w:type="spellEnd"/>
      <w:r w:rsidR="00837430" w:rsidRPr="008775D5">
        <w:rPr>
          <w:rFonts w:ascii="Cambria" w:hAnsi="Cambria" w:cs="Times New Roman"/>
          <w:color w:val="auto"/>
        </w:rPr>
        <w:t xml:space="preserve"> koji je </w:t>
      </w:r>
      <w:proofErr w:type="spellStart"/>
      <w:r w:rsidR="00837430" w:rsidRPr="008775D5">
        <w:rPr>
          <w:rFonts w:ascii="Cambria" w:hAnsi="Cambria" w:cs="Times New Roman"/>
          <w:color w:val="auto"/>
        </w:rPr>
        <w:t>važio</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na</w:t>
      </w:r>
      <w:proofErr w:type="spellEnd"/>
      <w:r w:rsidR="00837430" w:rsidRPr="008775D5">
        <w:rPr>
          <w:rFonts w:ascii="Cambria" w:hAnsi="Cambria" w:cs="Times New Roman"/>
          <w:color w:val="auto"/>
        </w:rPr>
        <w:t xml:space="preserve"> dan </w:t>
      </w:r>
      <w:proofErr w:type="spellStart"/>
      <w:r w:rsidR="00837430" w:rsidRPr="008775D5">
        <w:rPr>
          <w:rFonts w:ascii="Cambria" w:hAnsi="Cambria" w:cs="Times New Roman"/>
          <w:color w:val="auto"/>
        </w:rPr>
        <w:t>bilansa</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Pozitivni</w:t>
      </w:r>
      <w:proofErr w:type="spellEnd"/>
      <w:r w:rsidR="00837430" w:rsidRPr="008775D5">
        <w:rPr>
          <w:rFonts w:ascii="Cambria" w:hAnsi="Cambria" w:cs="Times New Roman"/>
          <w:color w:val="auto"/>
        </w:rPr>
        <w:t xml:space="preserve"> </w:t>
      </w:r>
      <w:proofErr w:type="spellStart"/>
      <w:r w:rsidR="00553A3A" w:rsidRPr="008775D5">
        <w:rPr>
          <w:rFonts w:ascii="Cambria" w:hAnsi="Cambria" w:cs="Times New Roman"/>
          <w:color w:val="auto"/>
        </w:rPr>
        <w:t>i</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negativni</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efekti</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nastali</w:t>
      </w:r>
      <w:proofErr w:type="spellEnd"/>
      <w:r w:rsidR="00837430" w:rsidRPr="008775D5">
        <w:rPr>
          <w:rFonts w:ascii="Cambria" w:hAnsi="Cambria" w:cs="Times New Roman"/>
          <w:color w:val="auto"/>
        </w:rPr>
        <w:t xml:space="preserve"> po </w:t>
      </w:r>
      <w:proofErr w:type="spellStart"/>
      <w:r w:rsidR="00837430" w:rsidRPr="008775D5">
        <w:rPr>
          <w:rFonts w:ascii="Cambria" w:hAnsi="Cambria" w:cs="Times New Roman"/>
          <w:color w:val="auto"/>
        </w:rPr>
        <w:t>ovom</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osnovu</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ikazani</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su</w:t>
      </w:r>
      <w:proofErr w:type="spellEnd"/>
      <w:r w:rsidR="00837430" w:rsidRPr="008775D5">
        <w:rPr>
          <w:rFonts w:ascii="Cambria" w:hAnsi="Cambria" w:cs="Times New Roman"/>
          <w:color w:val="auto"/>
        </w:rPr>
        <w:t xml:space="preserve"> u </w:t>
      </w:r>
      <w:proofErr w:type="spellStart"/>
      <w:r w:rsidR="00837430" w:rsidRPr="008775D5">
        <w:rPr>
          <w:rFonts w:ascii="Cambria" w:hAnsi="Cambria" w:cs="Times New Roman"/>
          <w:color w:val="auto"/>
        </w:rPr>
        <w:t>bilansu</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uspjeha</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Društva</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kao</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prihodi</w:t>
      </w:r>
      <w:proofErr w:type="spellEnd"/>
      <w:r w:rsidR="00837430" w:rsidRPr="008775D5">
        <w:rPr>
          <w:rFonts w:ascii="Cambria" w:hAnsi="Cambria" w:cs="Times New Roman"/>
          <w:color w:val="auto"/>
        </w:rPr>
        <w:t>/</w:t>
      </w:r>
      <w:proofErr w:type="spellStart"/>
      <w:r w:rsidR="00837430" w:rsidRPr="008775D5">
        <w:rPr>
          <w:rFonts w:ascii="Cambria" w:hAnsi="Cambria" w:cs="Times New Roman"/>
          <w:color w:val="auto"/>
        </w:rPr>
        <w:t>rashodi</w:t>
      </w:r>
      <w:proofErr w:type="spellEnd"/>
      <w:r w:rsidR="00837430" w:rsidRPr="008775D5">
        <w:rPr>
          <w:rFonts w:ascii="Cambria" w:hAnsi="Cambria" w:cs="Times New Roman"/>
          <w:color w:val="auto"/>
        </w:rPr>
        <w:t xml:space="preserve"> po </w:t>
      </w:r>
      <w:proofErr w:type="spellStart"/>
      <w:r w:rsidR="00837430" w:rsidRPr="008775D5">
        <w:rPr>
          <w:rFonts w:ascii="Cambria" w:hAnsi="Cambria" w:cs="Times New Roman"/>
          <w:color w:val="auto"/>
        </w:rPr>
        <w:t>osnovu</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efekta</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ugovorene</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zaštite</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od</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rizika</w:t>
      </w:r>
      <w:proofErr w:type="spellEnd"/>
      <w:r w:rsidR="00837430" w:rsidRPr="008775D5">
        <w:rPr>
          <w:rFonts w:ascii="Cambria" w:hAnsi="Cambria" w:cs="Times New Roman"/>
          <w:color w:val="auto"/>
        </w:rPr>
        <w:t xml:space="preserve"> u </w:t>
      </w:r>
      <w:proofErr w:type="spellStart"/>
      <w:r w:rsidR="00837430" w:rsidRPr="008775D5">
        <w:rPr>
          <w:rFonts w:ascii="Cambria" w:hAnsi="Cambria" w:cs="Times New Roman"/>
          <w:color w:val="auto"/>
        </w:rPr>
        <w:t>okviru</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kategorije</w:t>
      </w:r>
      <w:proofErr w:type="spellEnd"/>
      <w:r w:rsidR="00837430" w:rsidRPr="008775D5">
        <w:rPr>
          <w:rFonts w:ascii="Cambria" w:hAnsi="Cambria" w:cs="Times New Roman"/>
          <w:color w:val="auto"/>
        </w:rPr>
        <w:t xml:space="preserve"> </w:t>
      </w:r>
      <w:proofErr w:type="spellStart"/>
      <w:r w:rsidR="00837430" w:rsidRPr="008775D5">
        <w:rPr>
          <w:rFonts w:ascii="Cambria" w:hAnsi="Cambria" w:cs="Times New Roman"/>
          <w:color w:val="auto"/>
        </w:rPr>
        <w:t>ostalih</w:t>
      </w:r>
      <w:proofErr w:type="spellEnd"/>
      <w:r w:rsidR="00837430" w:rsidRPr="008775D5">
        <w:rPr>
          <w:rFonts w:ascii="Cambria" w:hAnsi="Cambria" w:cs="Times New Roman"/>
          <w:color w:val="auto"/>
        </w:rPr>
        <w:t xml:space="preserve"> </w:t>
      </w:r>
      <w:proofErr w:type="spellStart"/>
      <w:r w:rsidR="00553A3A" w:rsidRPr="008775D5">
        <w:rPr>
          <w:rFonts w:ascii="Cambria" w:hAnsi="Cambria" w:cs="Times New Roman"/>
          <w:color w:val="auto"/>
        </w:rPr>
        <w:t>p</w:t>
      </w:r>
      <w:r w:rsidR="00837430" w:rsidRPr="008775D5">
        <w:rPr>
          <w:rFonts w:ascii="Cambria" w:hAnsi="Cambria" w:cs="Times New Roman"/>
          <w:color w:val="auto"/>
        </w:rPr>
        <w:t>rihoda</w:t>
      </w:r>
      <w:proofErr w:type="spellEnd"/>
      <w:r w:rsidR="00837430" w:rsidRPr="008775D5">
        <w:rPr>
          <w:rFonts w:ascii="Cambria" w:hAnsi="Cambria" w:cs="Times New Roman"/>
          <w:color w:val="auto"/>
        </w:rPr>
        <w:t>/</w:t>
      </w:r>
      <w:proofErr w:type="spellStart"/>
      <w:r w:rsidR="00837430" w:rsidRPr="008775D5">
        <w:rPr>
          <w:rFonts w:ascii="Cambria" w:hAnsi="Cambria" w:cs="Times New Roman"/>
          <w:color w:val="auto"/>
        </w:rPr>
        <w:t>rashoha</w:t>
      </w:r>
      <w:proofErr w:type="spellEnd"/>
      <w:r w:rsidR="00553A3A" w:rsidRPr="008775D5">
        <w:rPr>
          <w:rFonts w:ascii="Cambria" w:hAnsi="Cambria" w:cs="Times New Roman"/>
          <w:color w:val="auto"/>
        </w:rPr>
        <w:t>.</w:t>
      </w:r>
    </w:p>
    <w:p w14:paraId="48477320" w14:textId="78186F02" w:rsidR="00553A3A" w:rsidRPr="008775D5" w:rsidRDefault="00553A3A" w:rsidP="0083243E">
      <w:pPr>
        <w:pStyle w:val="Default"/>
        <w:jc w:val="both"/>
        <w:rPr>
          <w:rFonts w:ascii="Cambria" w:hAnsi="Cambria" w:cs="Times New Roman"/>
          <w:color w:val="auto"/>
        </w:rPr>
      </w:pPr>
    </w:p>
    <w:p w14:paraId="5C679E81" w14:textId="63E733D4" w:rsidR="00553A3A" w:rsidRPr="008775D5" w:rsidRDefault="00553A3A" w:rsidP="0083243E">
      <w:pPr>
        <w:pStyle w:val="Default"/>
        <w:jc w:val="both"/>
        <w:rPr>
          <w:rFonts w:ascii="Cambria" w:hAnsi="Cambria" w:cs="Times New Roman"/>
          <w:color w:val="auto"/>
        </w:rPr>
      </w:pPr>
      <w:proofErr w:type="spellStart"/>
      <w:r w:rsidRPr="008775D5">
        <w:rPr>
          <w:rFonts w:ascii="Cambria" w:hAnsi="Cambria" w:cs="Times New Roman"/>
          <w:color w:val="auto"/>
        </w:rPr>
        <w:t>Zvanični</w:t>
      </w:r>
      <w:proofErr w:type="spellEnd"/>
      <w:r w:rsidRPr="008775D5">
        <w:rPr>
          <w:rFonts w:ascii="Cambria" w:hAnsi="Cambria" w:cs="Times New Roman"/>
          <w:color w:val="auto"/>
        </w:rPr>
        <w:t xml:space="preserve"> </w:t>
      </w:r>
      <w:proofErr w:type="spellStart"/>
      <w:r w:rsidRPr="008775D5">
        <w:rPr>
          <w:rFonts w:ascii="Cambria" w:hAnsi="Cambria" w:cs="Times New Roman"/>
          <w:color w:val="auto"/>
        </w:rPr>
        <w:t>kursevi</w:t>
      </w:r>
      <w:proofErr w:type="spellEnd"/>
      <w:r w:rsidRPr="008775D5">
        <w:rPr>
          <w:rFonts w:ascii="Cambria" w:hAnsi="Cambria" w:cs="Times New Roman"/>
          <w:color w:val="auto"/>
        </w:rPr>
        <w:t xml:space="preserve"> za EUR </w:t>
      </w:r>
      <w:proofErr w:type="spellStart"/>
      <w:r w:rsidRPr="008775D5">
        <w:rPr>
          <w:rFonts w:ascii="Cambria" w:hAnsi="Cambria" w:cs="Times New Roman"/>
          <w:color w:val="auto"/>
        </w:rPr>
        <w:t>primijenjeni</w:t>
      </w:r>
      <w:proofErr w:type="spellEnd"/>
      <w:r w:rsidRPr="008775D5">
        <w:rPr>
          <w:rFonts w:ascii="Cambria" w:hAnsi="Cambria" w:cs="Times New Roman"/>
          <w:color w:val="auto"/>
        </w:rPr>
        <w:t xml:space="preserve"> za </w:t>
      </w:r>
      <w:proofErr w:type="spellStart"/>
      <w:r w:rsidRPr="008775D5">
        <w:rPr>
          <w:rFonts w:ascii="Cambria" w:hAnsi="Cambria" w:cs="Times New Roman"/>
          <w:color w:val="auto"/>
        </w:rPr>
        <w:t>preračun</w:t>
      </w:r>
      <w:proofErr w:type="spellEnd"/>
      <w:r w:rsidRPr="008775D5">
        <w:rPr>
          <w:rFonts w:ascii="Cambria" w:hAnsi="Cambria" w:cs="Times New Roman"/>
          <w:color w:val="auto"/>
        </w:rPr>
        <w:t xml:space="preserve"> </w:t>
      </w:r>
      <w:proofErr w:type="spellStart"/>
      <w:r w:rsidRPr="008775D5">
        <w:rPr>
          <w:rFonts w:ascii="Cambria" w:hAnsi="Cambria" w:cs="Times New Roman"/>
          <w:color w:val="auto"/>
        </w:rPr>
        <w:t>deviznih</w:t>
      </w:r>
      <w:proofErr w:type="spellEnd"/>
      <w:r w:rsidRPr="008775D5">
        <w:rPr>
          <w:rFonts w:ascii="Cambria" w:hAnsi="Cambria" w:cs="Times New Roman"/>
          <w:color w:val="auto"/>
        </w:rPr>
        <w:t xml:space="preserve"> </w:t>
      </w:r>
      <w:proofErr w:type="spellStart"/>
      <w:r w:rsidRPr="008775D5">
        <w:rPr>
          <w:rFonts w:ascii="Cambria" w:hAnsi="Cambria" w:cs="Times New Roman"/>
          <w:color w:val="auto"/>
        </w:rPr>
        <w:t>pozicija</w:t>
      </w:r>
      <w:proofErr w:type="spellEnd"/>
      <w:r w:rsidRPr="008775D5">
        <w:rPr>
          <w:rFonts w:ascii="Cambria" w:hAnsi="Cambria" w:cs="Times New Roman"/>
          <w:color w:val="auto"/>
        </w:rPr>
        <w:t xml:space="preserve"> </w:t>
      </w:r>
      <w:proofErr w:type="spellStart"/>
      <w:r w:rsidRPr="008775D5">
        <w:rPr>
          <w:rFonts w:ascii="Cambria" w:hAnsi="Cambria" w:cs="Times New Roman"/>
          <w:color w:val="auto"/>
        </w:rPr>
        <w:t>bilansa</w:t>
      </w:r>
      <w:proofErr w:type="spellEnd"/>
      <w:r w:rsidRPr="008775D5">
        <w:rPr>
          <w:rFonts w:ascii="Cambria" w:hAnsi="Cambria" w:cs="Times New Roman"/>
          <w:color w:val="auto"/>
        </w:rPr>
        <w:t xml:space="preserve"> </w:t>
      </w:r>
      <w:proofErr w:type="spellStart"/>
      <w:r w:rsidRPr="008775D5">
        <w:rPr>
          <w:rFonts w:ascii="Cambria" w:hAnsi="Cambria" w:cs="Times New Roman"/>
          <w:color w:val="auto"/>
        </w:rPr>
        <w:t>stanja</w:t>
      </w:r>
      <w:proofErr w:type="spellEnd"/>
      <w:r w:rsidRPr="008775D5">
        <w:rPr>
          <w:rFonts w:ascii="Cambria" w:hAnsi="Cambria" w:cs="Times New Roman"/>
          <w:color w:val="auto"/>
        </w:rPr>
        <w:t xml:space="preserve"> u KM </w:t>
      </w:r>
      <w:proofErr w:type="spellStart"/>
      <w:r w:rsidRPr="008775D5">
        <w:rPr>
          <w:rFonts w:ascii="Cambria" w:hAnsi="Cambria" w:cs="Times New Roman"/>
          <w:color w:val="auto"/>
        </w:rPr>
        <w:t>bili</w:t>
      </w:r>
      <w:proofErr w:type="spellEnd"/>
      <w:r w:rsidRPr="008775D5">
        <w:rPr>
          <w:rFonts w:ascii="Cambria" w:hAnsi="Cambria" w:cs="Times New Roman"/>
          <w:color w:val="auto"/>
        </w:rPr>
        <w:t xml:space="preserve"> </w:t>
      </w:r>
      <w:proofErr w:type="spellStart"/>
      <w:r w:rsidRPr="008775D5">
        <w:rPr>
          <w:rFonts w:ascii="Cambria" w:hAnsi="Cambria" w:cs="Times New Roman"/>
          <w:color w:val="auto"/>
        </w:rPr>
        <w:t>su</w:t>
      </w:r>
      <w:proofErr w:type="spellEnd"/>
      <w:r w:rsidRPr="008775D5">
        <w:rPr>
          <w:rFonts w:ascii="Cambria" w:hAnsi="Cambria" w:cs="Times New Roman"/>
          <w:color w:val="auto"/>
        </w:rPr>
        <w:t xml:space="preserve"> </w:t>
      </w:r>
      <w:proofErr w:type="spellStart"/>
      <w:r w:rsidRPr="008775D5">
        <w:rPr>
          <w:rFonts w:ascii="Cambria" w:hAnsi="Cambria" w:cs="Times New Roman"/>
          <w:color w:val="auto"/>
        </w:rPr>
        <w:t>sledeči</w:t>
      </w:r>
      <w:proofErr w:type="spellEnd"/>
      <w:r w:rsidRPr="008775D5">
        <w:rPr>
          <w:rFonts w:ascii="Cambria" w:hAnsi="Cambria" w:cs="Times New Roman"/>
          <w:color w:val="auto"/>
        </w:rPr>
        <w:t>:</w:t>
      </w:r>
    </w:p>
    <w:p w14:paraId="44760E5D" w14:textId="77777777" w:rsidR="00553A3A" w:rsidRPr="008775D5" w:rsidRDefault="00553A3A" w:rsidP="00553A3A">
      <w:pPr>
        <w:pStyle w:val="Default"/>
        <w:rPr>
          <w:rFonts w:ascii="Cambria" w:hAnsi="Cambria" w:cs="Times New Roman"/>
          <w:color w:val="auto"/>
        </w:rPr>
      </w:pPr>
    </w:p>
    <w:tbl>
      <w:tblPr>
        <w:tblW w:w="9207" w:type="dxa"/>
        <w:tblInd w:w="250" w:type="dxa"/>
        <w:tblLook w:val="04A0" w:firstRow="1" w:lastRow="0" w:firstColumn="1" w:lastColumn="0" w:noHBand="0" w:noVBand="1"/>
      </w:tblPr>
      <w:tblGrid>
        <w:gridCol w:w="4527"/>
        <w:gridCol w:w="2340"/>
        <w:gridCol w:w="2340"/>
      </w:tblGrid>
      <w:tr w:rsidR="007B54D3" w:rsidRPr="008775D5" w14:paraId="1465BDE1" w14:textId="77777777" w:rsidTr="007B5B25">
        <w:trPr>
          <w:trHeight w:val="447"/>
        </w:trPr>
        <w:tc>
          <w:tcPr>
            <w:tcW w:w="4527" w:type="dxa"/>
            <w:tcBorders>
              <w:top w:val="single" w:sz="4" w:space="0" w:color="808080"/>
              <w:left w:val="single" w:sz="4" w:space="0" w:color="808080"/>
              <w:bottom w:val="single" w:sz="4" w:space="0" w:color="808080"/>
              <w:right w:val="single" w:sz="4" w:space="0" w:color="808080"/>
            </w:tcBorders>
            <w:noWrap/>
            <w:vAlign w:val="center"/>
            <w:hideMark/>
          </w:tcPr>
          <w:p w14:paraId="28CF0824" w14:textId="0639FB8B" w:rsidR="007B54D3" w:rsidRPr="008775D5" w:rsidRDefault="007B54D3" w:rsidP="007B54D3">
            <w:pPr>
              <w:jc w:val="center"/>
              <w:rPr>
                <w:rFonts w:ascii="Cambria" w:hAnsi="Cambria"/>
                <w:sz w:val="24"/>
                <w:szCs w:val="24"/>
                <w:lang w:val="sr-Latn-RS" w:eastAsia="sr-Latn-RS"/>
              </w:rPr>
            </w:pPr>
            <w:r w:rsidRPr="008775D5">
              <w:rPr>
                <w:rFonts w:ascii="Cambria" w:hAnsi="Cambria"/>
                <w:sz w:val="24"/>
                <w:szCs w:val="24"/>
                <w:lang w:val="sr-Latn-RS" w:eastAsia="sr-Latn-RS"/>
              </w:rPr>
              <w:t>Valuta</w:t>
            </w:r>
          </w:p>
        </w:tc>
        <w:tc>
          <w:tcPr>
            <w:tcW w:w="2340" w:type="dxa"/>
            <w:tcBorders>
              <w:top w:val="single" w:sz="4" w:space="0" w:color="808080"/>
              <w:left w:val="nil"/>
              <w:bottom w:val="single" w:sz="4" w:space="0" w:color="808080"/>
              <w:right w:val="single" w:sz="4" w:space="0" w:color="808080"/>
            </w:tcBorders>
            <w:noWrap/>
            <w:vAlign w:val="center"/>
          </w:tcPr>
          <w:p w14:paraId="297823D9" w14:textId="233D8748" w:rsidR="007B54D3" w:rsidRPr="008775D5" w:rsidRDefault="007B54D3">
            <w:pPr>
              <w:jc w:val="center"/>
              <w:rPr>
                <w:rFonts w:ascii="Cambria" w:hAnsi="Cambria"/>
                <w:sz w:val="24"/>
                <w:szCs w:val="24"/>
                <w:lang w:val="sr-Latn-RS" w:eastAsia="sr-Latn-RS"/>
              </w:rPr>
            </w:pPr>
            <w:r w:rsidRPr="008775D5">
              <w:rPr>
                <w:rFonts w:ascii="Cambria" w:hAnsi="Cambria"/>
                <w:sz w:val="24"/>
                <w:szCs w:val="24"/>
                <w:lang w:val="sr-Latn-RS" w:eastAsia="sr-Latn-RS"/>
              </w:rPr>
              <w:t>3</w:t>
            </w:r>
            <w:r w:rsidR="00B3756F">
              <w:rPr>
                <w:rFonts w:ascii="Cambria" w:hAnsi="Cambria"/>
                <w:sz w:val="24"/>
                <w:szCs w:val="24"/>
                <w:lang w:val="sr-Latn-RS" w:eastAsia="sr-Latn-RS"/>
              </w:rPr>
              <w:t>0</w:t>
            </w:r>
            <w:r w:rsidRPr="008775D5">
              <w:rPr>
                <w:rFonts w:ascii="Cambria" w:hAnsi="Cambria"/>
                <w:sz w:val="24"/>
                <w:szCs w:val="24"/>
                <w:lang w:val="sr-Latn-RS" w:eastAsia="sr-Latn-RS"/>
              </w:rPr>
              <w:t>.</w:t>
            </w:r>
            <w:r w:rsidR="00B3756F">
              <w:rPr>
                <w:rFonts w:ascii="Cambria" w:hAnsi="Cambria"/>
                <w:sz w:val="24"/>
                <w:szCs w:val="24"/>
                <w:lang w:val="sr-Latn-RS" w:eastAsia="sr-Latn-RS"/>
              </w:rPr>
              <w:t>06</w:t>
            </w:r>
            <w:r w:rsidRPr="008775D5">
              <w:rPr>
                <w:rFonts w:ascii="Cambria" w:hAnsi="Cambria"/>
                <w:sz w:val="24"/>
                <w:szCs w:val="24"/>
                <w:lang w:val="sr-Latn-RS" w:eastAsia="sr-Latn-RS"/>
              </w:rPr>
              <w:t>.202</w:t>
            </w:r>
            <w:r w:rsidR="00B3756F">
              <w:rPr>
                <w:rFonts w:ascii="Cambria" w:hAnsi="Cambria"/>
                <w:sz w:val="24"/>
                <w:szCs w:val="24"/>
                <w:lang w:val="sr-Latn-RS" w:eastAsia="sr-Latn-RS"/>
              </w:rPr>
              <w:t>3</w:t>
            </w:r>
            <w:r w:rsidRPr="008775D5">
              <w:rPr>
                <w:rFonts w:ascii="Cambria" w:hAnsi="Cambria"/>
                <w:sz w:val="24"/>
                <w:szCs w:val="24"/>
                <w:lang w:val="sr-Latn-RS" w:eastAsia="sr-Latn-RS"/>
              </w:rPr>
              <w:t>.</w:t>
            </w:r>
          </w:p>
        </w:tc>
        <w:tc>
          <w:tcPr>
            <w:tcW w:w="2340" w:type="dxa"/>
            <w:tcBorders>
              <w:top w:val="single" w:sz="4" w:space="0" w:color="808080"/>
              <w:left w:val="nil"/>
              <w:bottom w:val="single" w:sz="4" w:space="0" w:color="808080"/>
              <w:right w:val="single" w:sz="4" w:space="0" w:color="808080"/>
            </w:tcBorders>
            <w:noWrap/>
            <w:vAlign w:val="center"/>
          </w:tcPr>
          <w:p w14:paraId="0103FC59" w14:textId="11EF7ABB" w:rsidR="007B54D3" w:rsidRPr="008775D5" w:rsidRDefault="007B54D3">
            <w:pPr>
              <w:jc w:val="center"/>
              <w:rPr>
                <w:rFonts w:ascii="Cambria" w:hAnsi="Cambria"/>
                <w:sz w:val="24"/>
                <w:szCs w:val="24"/>
                <w:lang w:val="sr-Latn-RS" w:eastAsia="sr-Latn-RS"/>
              </w:rPr>
            </w:pPr>
            <w:r w:rsidRPr="008775D5">
              <w:rPr>
                <w:rFonts w:ascii="Cambria" w:hAnsi="Cambria"/>
                <w:sz w:val="24"/>
                <w:szCs w:val="24"/>
                <w:lang w:val="sr-Latn-RS" w:eastAsia="sr-Latn-RS"/>
              </w:rPr>
              <w:t>3</w:t>
            </w:r>
            <w:r w:rsidR="00B3756F">
              <w:rPr>
                <w:rFonts w:ascii="Cambria" w:hAnsi="Cambria"/>
                <w:sz w:val="24"/>
                <w:szCs w:val="24"/>
                <w:lang w:val="sr-Latn-RS" w:eastAsia="sr-Latn-RS"/>
              </w:rPr>
              <w:t>0</w:t>
            </w:r>
            <w:r w:rsidRPr="008775D5">
              <w:rPr>
                <w:rFonts w:ascii="Cambria" w:hAnsi="Cambria"/>
                <w:sz w:val="24"/>
                <w:szCs w:val="24"/>
                <w:lang w:val="sr-Latn-RS" w:eastAsia="sr-Latn-RS"/>
              </w:rPr>
              <w:t>.</w:t>
            </w:r>
            <w:r w:rsidR="00B3756F">
              <w:rPr>
                <w:rFonts w:ascii="Cambria" w:hAnsi="Cambria"/>
                <w:sz w:val="24"/>
                <w:szCs w:val="24"/>
                <w:lang w:val="sr-Latn-RS" w:eastAsia="sr-Latn-RS"/>
              </w:rPr>
              <w:t>06</w:t>
            </w:r>
            <w:r w:rsidRPr="008775D5">
              <w:rPr>
                <w:rFonts w:ascii="Cambria" w:hAnsi="Cambria"/>
                <w:sz w:val="24"/>
                <w:szCs w:val="24"/>
                <w:lang w:val="sr-Latn-RS" w:eastAsia="sr-Latn-RS"/>
              </w:rPr>
              <w:t>.202</w:t>
            </w:r>
            <w:r w:rsidR="00E64629">
              <w:rPr>
                <w:rFonts w:ascii="Cambria" w:hAnsi="Cambria"/>
                <w:sz w:val="24"/>
                <w:szCs w:val="24"/>
                <w:lang w:val="sr-Latn-RS" w:eastAsia="sr-Latn-RS"/>
              </w:rPr>
              <w:t>2</w:t>
            </w:r>
            <w:r w:rsidRPr="008775D5">
              <w:rPr>
                <w:rFonts w:ascii="Cambria" w:hAnsi="Cambria"/>
                <w:sz w:val="24"/>
                <w:szCs w:val="24"/>
                <w:lang w:val="sr-Latn-RS" w:eastAsia="sr-Latn-RS"/>
              </w:rPr>
              <w:t>.</w:t>
            </w:r>
          </w:p>
        </w:tc>
      </w:tr>
      <w:tr w:rsidR="007B54D3" w:rsidRPr="008775D5" w14:paraId="72B4DBAF" w14:textId="77777777" w:rsidTr="0083243E">
        <w:trPr>
          <w:trHeight w:val="370"/>
        </w:trPr>
        <w:tc>
          <w:tcPr>
            <w:tcW w:w="4527" w:type="dxa"/>
            <w:tcBorders>
              <w:top w:val="nil"/>
              <w:left w:val="single" w:sz="4" w:space="0" w:color="808080"/>
              <w:bottom w:val="single" w:sz="4" w:space="0" w:color="808080"/>
              <w:right w:val="single" w:sz="4" w:space="0" w:color="808080"/>
            </w:tcBorders>
            <w:noWrap/>
            <w:vAlign w:val="center"/>
          </w:tcPr>
          <w:p w14:paraId="1E322EEE" w14:textId="16D1D869" w:rsidR="007B54D3" w:rsidRPr="008775D5" w:rsidRDefault="007B54D3">
            <w:pPr>
              <w:rPr>
                <w:rFonts w:ascii="Cambria" w:hAnsi="Cambria"/>
                <w:sz w:val="24"/>
                <w:szCs w:val="24"/>
                <w:lang w:val="sr-Latn-RS" w:eastAsia="sr-Latn-RS"/>
              </w:rPr>
            </w:pPr>
            <w:r w:rsidRPr="008775D5">
              <w:rPr>
                <w:rFonts w:ascii="Cambria" w:hAnsi="Cambria"/>
                <w:sz w:val="24"/>
                <w:szCs w:val="24"/>
                <w:lang w:val="sr-Latn-RS" w:eastAsia="sr-Latn-RS"/>
              </w:rPr>
              <w:t>EUR</w:t>
            </w:r>
          </w:p>
        </w:tc>
        <w:tc>
          <w:tcPr>
            <w:tcW w:w="2340" w:type="dxa"/>
            <w:tcBorders>
              <w:top w:val="nil"/>
              <w:left w:val="nil"/>
              <w:bottom w:val="single" w:sz="4" w:space="0" w:color="808080"/>
              <w:right w:val="single" w:sz="4" w:space="0" w:color="808080"/>
            </w:tcBorders>
            <w:noWrap/>
            <w:vAlign w:val="center"/>
          </w:tcPr>
          <w:p w14:paraId="063F158D" w14:textId="3EC9F8B3" w:rsidR="007B54D3" w:rsidRPr="008775D5" w:rsidRDefault="007B54D3">
            <w:pPr>
              <w:jc w:val="right"/>
              <w:rPr>
                <w:rFonts w:ascii="Cambria" w:hAnsi="Cambria"/>
                <w:sz w:val="24"/>
                <w:szCs w:val="24"/>
                <w:lang w:val="sr-Latn-RS" w:eastAsia="sr-Latn-RS"/>
              </w:rPr>
            </w:pPr>
            <w:r w:rsidRPr="008775D5">
              <w:rPr>
                <w:rFonts w:ascii="Cambria" w:hAnsi="Cambria"/>
                <w:sz w:val="24"/>
                <w:szCs w:val="24"/>
                <w:lang w:val="sr-Latn-RS" w:eastAsia="sr-Latn-RS"/>
              </w:rPr>
              <w:t>1,955830</w:t>
            </w:r>
          </w:p>
        </w:tc>
        <w:tc>
          <w:tcPr>
            <w:tcW w:w="2340" w:type="dxa"/>
            <w:tcBorders>
              <w:top w:val="nil"/>
              <w:left w:val="nil"/>
              <w:bottom w:val="single" w:sz="4" w:space="0" w:color="808080"/>
              <w:right w:val="single" w:sz="4" w:space="0" w:color="808080"/>
            </w:tcBorders>
            <w:noWrap/>
            <w:vAlign w:val="center"/>
          </w:tcPr>
          <w:p w14:paraId="3D2A7D14" w14:textId="4E4BD813" w:rsidR="007B54D3" w:rsidRPr="008775D5" w:rsidRDefault="007B54D3">
            <w:pPr>
              <w:jc w:val="right"/>
              <w:rPr>
                <w:rFonts w:ascii="Cambria" w:hAnsi="Cambria"/>
                <w:sz w:val="24"/>
                <w:szCs w:val="24"/>
                <w:lang w:val="sr-Latn-RS" w:eastAsia="sr-Latn-RS"/>
              </w:rPr>
            </w:pPr>
            <w:r w:rsidRPr="008775D5">
              <w:rPr>
                <w:rFonts w:ascii="Cambria" w:hAnsi="Cambria"/>
                <w:sz w:val="24"/>
                <w:szCs w:val="24"/>
                <w:lang w:val="sr-Latn-RS" w:eastAsia="sr-Latn-RS"/>
              </w:rPr>
              <w:t>1,955830</w:t>
            </w:r>
          </w:p>
        </w:tc>
      </w:tr>
    </w:tbl>
    <w:p w14:paraId="7964118B" w14:textId="77777777" w:rsidR="0083243E" w:rsidRPr="008775D5" w:rsidRDefault="0083243E" w:rsidP="00235D4F">
      <w:pPr>
        <w:spacing w:line="240" w:lineRule="auto"/>
        <w:jc w:val="both"/>
        <w:rPr>
          <w:rFonts w:ascii="Cambria" w:hAnsi="Cambria" w:cs="Times New Roman"/>
          <w:b/>
          <w:sz w:val="24"/>
          <w:szCs w:val="24"/>
        </w:rPr>
      </w:pPr>
    </w:p>
    <w:p w14:paraId="5C93AFC3" w14:textId="4071415A" w:rsidR="005F3FA9" w:rsidRPr="008775D5" w:rsidRDefault="007B54D3" w:rsidP="00235D4F">
      <w:pPr>
        <w:spacing w:line="240" w:lineRule="auto"/>
        <w:jc w:val="both"/>
        <w:rPr>
          <w:rFonts w:ascii="Cambria" w:hAnsi="Cambria" w:cs="Times New Roman"/>
          <w:b/>
          <w:sz w:val="24"/>
          <w:szCs w:val="24"/>
        </w:rPr>
      </w:pPr>
      <w:r w:rsidRPr="008775D5">
        <w:rPr>
          <w:rFonts w:ascii="Cambria" w:hAnsi="Cambria" w:cs="Times New Roman"/>
          <w:b/>
          <w:sz w:val="24"/>
          <w:szCs w:val="24"/>
        </w:rPr>
        <w:t xml:space="preserve">   </w:t>
      </w:r>
      <w:r w:rsidR="005F3FA9" w:rsidRPr="008775D5">
        <w:rPr>
          <w:rFonts w:ascii="Cambria" w:hAnsi="Cambria" w:cs="Times New Roman"/>
          <w:b/>
          <w:sz w:val="24"/>
          <w:szCs w:val="24"/>
        </w:rPr>
        <w:t>3.</w:t>
      </w:r>
      <w:r w:rsidR="00837430" w:rsidRPr="008775D5">
        <w:rPr>
          <w:rFonts w:ascii="Cambria" w:hAnsi="Cambria" w:cs="Times New Roman"/>
          <w:b/>
          <w:sz w:val="24"/>
          <w:szCs w:val="24"/>
        </w:rPr>
        <w:t>2</w:t>
      </w:r>
      <w:r w:rsidR="005F3FA9" w:rsidRPr="008775D5">
        <w:rPr>
          <w:rFonts w:ascii="Cambria" w:hAnsi="Cambria" w:cs="Times New Roman"/>
          <w:b/>
          <w:sz w:val="24"/>
          <w:szCs w:val="24"/>
        </w:rPr>
        <w:t>.</w:t>
      </w:r>
      <w:r w:rsidR="0083243E">
        <w:rPr>
          <w:rFonts w:ascii="Cambria" w:hAnsi="Cambria" w:cs="Times New Roman"/>
          <w:b/>
          <w:sz w:val="24"/>
          <w:szCs w:val="24"/>
        </w:rPr>
        <w:t xml:space="preserve">   </w:t>
      </w:r>
      <w:r w:rsidR="005F3FA9" w:rsidRPr="008775D5">
        <w:rPr>
          <w:rFonts w:ascii="Cambria" w:hAnsi="Cambria" w:cs="Times New Roman"/>
          <w:b/>
          <w:sz w:val="24"/>
          <w:szCs w:val="24"/>
        </w:rPr>
        <w:t xml:space="preserve">Finansijski instrumenti </w:t>
      </w:r>
    </w:p>
    <w:p w14:paraId="3DB86202" w14:textId="437C1677" w:rsidR="007B54D3" w:rsidRPr="008775D5" w:rsidRDefault="007B54D3" w:rsidP="00235D4F">
      <w:pPr>
        <w:spacing w:line="240" w:lineRule="auto"/>
        <w:jc w:val="both"/>
        <w:rPr>
          <w:rFonts w:ascii="Cambria" w:hAnsi="Cambria" w:cs="Times New Roman"/>
          <w:b/>
          <w:sz w:val="24"/>
          <w:szCs w:val="24"/>
        </w:rPr>
      </w:pPr>
      <w:r w:rsidRPr="008775D5">
        <w:rPr>
          <w:rFonts w:ascii="Cambria" w:hAnsi="Cambria" w:cs="Times New Roman"/>
          <w:b/>
          <w:sz w:val="24"/>
          <w:szCs w:val="24"/>
        </w:rPr>
        <w:t xml:space="preserve">          3.2.1. Finansijska sredstva</w:t>
      </w:r>
    </w:p>
    <w:p w14:paraId="28CAAFA5" w14:textId="33FBC42C" w:rsidR="005F3FA9" w:rsidRPr="008775D5" w:rsidRDefault="005F3FA9" w:rsidP="00601E5F">
      <w:pPr>
        <w:spacing w:line="240" w:lineRule="auto"/>
        <w:jc w:val="both"/>
        <w:rPr>
          <w:rFonts w:ascii="Cambria" w:hAnsi="Cambria" w:cs="Times New Roman"/>
          <w:bCs/>
          <w:i/>
          <w:sz w:val="24"/>
          <w:szCs w:val="24"/>
        </w:rPr>
      </w:pPr>
      <w:r w:rsidRPr="008775D5">
        <w:rPr>
          <w:rFonts w:ascii="Cambria" w:hAnsi="Cambria" w:cs="Times New Roman"/>
          <w:bCs/>
          <w:i/>
          <w:sz w:val="24"/>
          <w:szCs w:val="24"/>
        </w:rPr>
        <w:t xml:space="preserve">Klasifikacija </w:t>
      </w:r>
    </w:p>
    <w:p w14:paraId="0E97E3AA" w14:textId="23F2C72C" w:rsidR="00601E5F" w:rsidRPr="008775D5" w:rsidRDefault="00601E5F" w:rsidP="00601E5F">
      <w:pPr>
        <w:spacing w:line="240" w:lineRule="auto"/>
        <w:jc w:val="both"/>
        <w:rPr>
          <w:rFonts w:ascii="Cambria" w:hAnsi="Cambria" w:cs="Times New Roman"/>
          <w:bCs/>
          <w:iCs/>
          <w:sz w:val="24"/>
          <w:szCs w:val="24"/>
        </w:rPr>
      </w:pPr>
      <w:r w:rsidRPr="008775D5">
        <w:rPr>
          <w:rFonts w:ascii="Cambria" w:hAnsi="Cambria" w:cs="Times New Roman"/>
          <w:bCs/>
          <w:iCs/>
          <w:sz w:val="24"/>
          <w:szCs w:val="24"/>
        </w:rPr>
        <w:t>Društvo određuje klasifikaciju svojih finansijskih sredstava prilikom početnog priznavanja.</w:t>
      </w:r>
    </w:p>
    <w:p w14:paraId="33CFA3A6" w14:textId="1B25722D" w:rsidR="00601E5F" w:rsidRPr="008775D5" w:rsidRDefault="00601E5F" w:rsidP="00601E5F">
      <w:pPr>
        <w:spacing w:line="240" w:lineRule="auto"/>
        <w:jc w:val="both"/>
        <w:rPr>
          <w:rFonts w:ascii="Cambria" w:hAnsi="Cambria" w:cs="Times New Roman"/>
          <w:bCs/>
          <w:iCs/>
          <w:sz w:val="24"/>
          <w:szCs w:val="24"/>
        </w:rPr>
      </w:pPr>
      <w:r w:rsidRPr="008775D5">
        <w:rPr>
          <w:rFonts w:ascii="Cambria" w:hAnsi="Cambria" w:cs="Times New Roman"/>
          <w:bCs/>
          <w:iCs/>
          <w:sz w:val="24"/>
          <w:szCs w:val="24"/>
        </w:rPr>
        <w:t>Finansijska sredstva se početno priznaju po fer vrijednosti uvečanoj za, u slučaju finansijskih sredstava koja nisu po fer vrijednosti kroz bilans uspjeha, direktne troškove transakcije.</w:t>
      </w:r>
    </w:p>
    <w:p w14:paraId="0699EDCF" w14:textId="326C83DF" w:rsidR="00601E5F" w:rsidRPr="008775D5" w:rsidRDefault="00601E5F" w:rsidP="00601E5F">
      <w:pPr>
        <w:spacing w:line="240" w:lineRule="auto"/>
        <w:jc w:val="both"/>
        <w:rPr>
          <w:rFonts w:ascii="Cambria" w:hAnsi="Cambria" w:cs="Times New Roman"/>
          <w:bCs/>
          <w:iCs/>
          <w:sz w:val="24"/>
          <w:szCs w:val="24"/>
        </w:rPr>
      </w:pPr>
      <w:r w:rsidRPr="008775D5">
        <w:rPr>
          <w:rFonts w:ascii="Cambria" w:hAnsi="Cambria" w:cs="Times New Roman"/>
          <w:bCs/>
          <w:iCs/>
          <w:sz w:val="24"/>
          <w:szCs w:val="24"/>
        </w:rPr>
        <w:t>U skladu sa MSFI 9, finansijska sredstva Društva odmjeravaju se:</w:t>
      </w:r>
    </w:p>
    <w:p w14:paraId="080BBD49" w14:textId="6EE47D63" w:rsidR="00601E5F" w:rsidRPr="008775D5" w:rsidRDefault="00601E5F" w:rsidP="00601E5F">
      <w:pPr>
        <w:pStyle w:val="ListParagraph"/>
        <w:numPr>
          <w:ilvl w:val="0"/>
          <w:numId w:val="7"/>
        </w:numPr>
        <w:spacing w:line="240" w:lineRule="auto"/>
        <w:jc w:val="both"/>
        <w:rPr>
          <w:rFonts w:ascii="Cambria" w:hAnsi="Cambria" w:cs="Times New Roman"/>
          <w:bCs/>
          <w:iCs/>
          <w:sz w:val="24"/>
          <w:szCs w:val="24"/>
        </w:rPr>
      </w:pPr>
      <w:r w:rsidRPr="008775D5">
        <w:rPr>
          <w:rFonts w:ascii="Cambria" w:hAnsi="Cambria" w:cs="Times New Roman"/>
          <w:bCs/>
          <w:iCs/>
          <w:sz w:val="24"/>
          <w:szCs w:val="24"/>
        </w:rPr>
        <w:t xml:space="preserve"> po amortizovanoj vrijednosti, u visini očekivanih budućih tokova gotovine,</w:t>
      </w:r>
    </w:p>
    <w:p w14:paraId="3F0DA76B" w14:textId="4C84E207" w:rsidR="00601E5F" w:rsidRPr="008775D5" w:rsidRDefault="00601E5F" w:rsidP="00601E5F">
      <w:pPr>
        <w:pStyle w:val="ListParagraph"/>
        <w:numPr>
          <w:ilvl w:val="0"/>
          <w:numId w:val="7"/>
        </w:numPr>
        <w:spacing w:line="240" w:lineRule="auto"/>
        <w:jc w:val="both"/>
        <w:rPr>
          <w:rFonts w:ascii="Cambria" w:hAnsi="Cambria" w:cs="Times New Roman"/>
          <w:bCs/>
          <w:iCs/>
          <w:sz w:val="24"/>
          <w:szCs w:val="24"/>
        </w:rPr>
      </w:pPr>
      <w:r w:rsidRPr="008775D5">
        <w:rPr>
          <w:rFonts w:ascii="Cambria" w:hAnsi="Cambria" w:cs="Times New Roman"/>
          <w:bCs/>
          <w:iCs/>
          <w:sz w:val="24"/>
          <w:szCs w:val="24"/>
        </w:rPr>
        <w:t xml:space="preserve"> po fer vrijednosti kroz ostali ukupan rezultat ili</w:t>
      </w:r>
    </w:p>
    <w:p w14:paraId="20DFF1B3" w14:textId="4B5D559D" w:rsidR="00601E5F" w:rsidRPr="008775D5" w:rsidRDefault="00601E5F" w:rsidP="00601E5F">
      <w:pPr>
        <w:pStyle w:val="ListParagraph"/>
        <w:numPr>
          <w:ilvl w:val="0"/>
          <w:numId w:val="7"/>
        </w:numPr>
        <w:spacing w:line="240" w:lineRule="auto"/>
        <w:jc w:val="both"/>
        <w:rPr>
          <w:rFonts w:ascii="Cambria" w:hAnsi="Cambria" w:cs="Times New Roman"/>
          <w:bCs/>
          <w:iCs/>
          <w:sz w:val="24"/>
          <w:szCs w:val="24"/>
        </w:rPr>
      </w:pPr>
      <w:r w:rsidRPr="008775D5">
        <w:rPr>
          <w:rFonts w:ascii="Cambria" w:hAnsi="Cambria" w:cs="Times New Roman"/>
          <w:bCs/>
          <w:iCs/>
          <w:sz w:val="24"/>
          <w:szCs w:val="24"/>
        </w:rPr>
        <w:t xml:space="preserve"> po fer vrijednosti kroz bilans uspjeha.</w:t>
      </w:r>
    </w:p>
    <w:p w14:paraId="3DDEA7A4" w14:textId="53E4F8A1" w:rsidR="00DA7B79" w:rsidRPr="0083243E" w:rsidRDefault="00601E5F" w:rsidP="00235D4F">
      <w:pPr>
        <w:spacing w:line="240" w:lineRule="auto"/>
        <w:jc w:val="both"/>
        <w:rPr>
          <w:rFonts w:ascii="Cambria" w:hAnsi="Cambria" w:cs="Times New Roman"/>
          <w:bCs/>
          <w:iCs/>
          <w:sz w:val="24"/>
          <w:szCs w:val="24"/>
        </w:rPr>
      </w:pPr>
      <w:r w:rsidRPr="008775D5">
        <w:rPr>
          <w:rFonts w:ascii="Cambria" w:hAnsi="Cambria" w:cs="Times New Roman"/>
          <w:bCs/>
          <w:iCs/>
          <w:sz w:val="24"/>
          <w:szCs w:val="24"/>
        </w:rPr>
        <w:lastRenderedPageBreak/>
        <w:t>Izvršni direktori Društva su donijeli odluku o prvoj primjeni MSFI 9, prema kojoj je i</w:t>
      </w:r>
      <w:r w:rsidR="00E22688" w:rsidRPr="008775D5">
        <w:rPr>
          <w:rFonts w:ascii="Cambria" w:hAnsi="Cambria" w:cs="Times New Roman"/>
          <w:bCs/>
          <w:iCs/>
          <w:sz w:val="24"/>
          <w:szCs w:val="24"/>
        </w:rPr>
        <w:t>s</w:t>
      </w:r>
      <w:r w:rsidRPr="008775D5">
        <w:rPr>
          <w:rFonts w:ascii="Cambria" w:hAnsi="Cambria" w:cs="Times New Roman"/>
          <w:bCs/>
          <w:iCs/>
          <w:sz w:val="24"/>
          <w:szCs w:val="24"/>
        </w:rPr>
        <w:t>korištena mogućnost data standardom da se investicije u instrumente kapitala koj</w:t>
      </w:r>
      <w:r w:rsidR="00ED083E" w:rsidRPr="008775D5">
        <w:rPr>
          <w:rFonts w:ascii="Cambria" w:hAnsi="Cambria" w:cs="Times New Roman"/>
          <w:bCs/>
          <w:iCs/>
          <w:sz w:val="24"/>
          <w:szCs w:val="24"/>
        </w:rPr>
        <w:t>e s</w:t>
      </w:r>
      <w:r w:rsidRPr="008775D5">
        <w:rPr>
          <w:rFonts w:ascii="Cambria" w:hAnsi="Cambria" w:cs="Times New Roman"/>
          <w:bCs/>
          <w:iCs/>
          <w:sz w:val="24"/>
          <w:szCs w:val="24"/>
        </w:rPr>
        <w:t>u do dana prve primjene bile klasifikovane kao raspoložive za prodaju primjenom MSFI 9 vrednuju po fer vrijednosti kroz ostali ukupan rezultat.</w:t>
      </w:r>
    </w:p>
    <w:p w14:paraId="46A91BF3" w14:textId="578C567C" w:rsidR="005F3FA9" w:rsidRPr="008775D5" w:rsidRDefault="005F3FA9" w:rsidP="00235D4F">
      <w:pPr>
        <w:spacing w:line="240" w:lineRule="auto"/>
        <w:jc w:val="both"/>
        <w:rPr>
          <w:rFonts w:ascii="Cambria" w:hAnsi="Cambria" w:cs="Times New Roman"/>
          <w:bCs/>
          <w:i/>
          <w:sz w:val="24"/>
          <w:szCs w:val="24"/>
        </w:rPr>
      </w:pPr>
      <w:r w:rsidRPr="008775D5">
        <w:rPr>
          <w:rFonts w:ascii="Cambria" w:hAnsi="Cambria" w:cs="Times New Roman"/>
          <w:bCs/>
          <w:i/>
          <w:sz w:val="24"/>
          <w:szCs w:val="24"/>
        </w:rPr>
        <w:t xml:space="preserve">Krediti i potraživanja </w:t>
      </w:r>
    </w:p>
    <w:p w14:paraId="6EA34CD3" w14:textId="77777777" w:rsidR="00123216" w:rsidRPr="008775D5" w:rsidRDefault="005F3FA9" w:rsidP="00235D4F">
      <w:pPr>
        <w:spacing w:line="240" w:lineRule="auto"/>
        <w:jc w:val="both"/>
        <w:rPr>
          <w:rFonts w:ascii="Cambria" w:hAnsi="Cambria" w:cs="Times New Roman"/>
          <w:sz w:val="24"/>
          <w:szCs w:val="24"/>
        </w:rPr>
      </w:pPr>
      <w:r w:rsidRPr="008775D5">
        <w:rPr>
          <w:rFonts w:ascii="Cambria" w:hAnsi="Cambria" w:cs="Times New Roman"/>
          <w:sz w:val="24"/>
          <w:szCs w:val="24"/>
        </w:rPr>
        <w:t>Krediti i potraživanja predstavljaju nederivatna finansijska sredstva sa fiksnim ili utvrdivim rokovima plaćanja, koja se ne kotiraju ni na jednom aktivnom tržištu. Uključuju se u tekuća sredstva, osim ukoliko su im rokovi dospijeća duži od 12 mjeseci nakon datuma bilansa stanja. U tom slučaju se klasifikuju kao dugoročna sredstva.</w:t>
      </w:r>
    </w:p>
    <w:p w14:paraId="19C2DAEC" w14:textId="674F0901" w:rsidR="00ED083E" w:rsidRPr="008775D5" w:rsidRDefault="005F3FA9" w:rsidP="00235D4F">
      <w:pPr>
        <w:spacing w:line="240" w:lineRule="auto"/>
        <w:jc w:val="both"/>
        <w:rPr>
          <w:rFonts w:ascii="Cambria" w:hAnsi="Cambria" w:cs="Times New Roman"/>
          <w:sz w:val="24"/>
          <w:szCs w:val="24"/>
        </w:rPr>
      </w:pPr>
      <w:r w:rsidRPr="008775D5">
        <w:rPr>
          <w:rFonts w:ascii="Cambria" w:hAnsi="Cambria" w:cs="Times New Roman"/>
          <w:sz w:val="24"/>
          <w:szCs w:val="24"/>
        </w:rPr>
        <w:t>Potraživanja se sastoje od potraživanja od kupaca, povezanih pravnih lica i inostranstvu i ostalih potraživanja.</w:t>
      </w:r>
    </w:p>
    <w:p w14:paraId="60A212F8" w14:textId="6FA40837" w:rsidR="005F3FA9" w:rsidRPr="008775D5" w:rsidRDefault="003375FE" w:rsidP="00235D4F">
      <w:pPr>
        <w:spacing w:line="240" w:lineRule="auto"/>
        <w:jc w:val="both"/>
        <w:rPr>
          <w:rFonts w:ascii="Cambria" w:hAnsi="Cambria" w:cs="Times New Roman"/>
          <w:sz w:val="24"/>
          <w:szCs w:val="24"/>
        </w:rPr>
      </w:pPr>
      <w:r w:rsidRPr="008775D5">
        <w:rPr>
          <w:rFonts w:ascii="Cambria" w:hAnsi="Cambria" w:cs="Times New Roman"/>
          <w:sz w:val="24"/>
          <w:szCs w:val="24"/>
        </w:rPr>
        <w:t xml:space="preserve">Na dan </w:t>
      </w:r>
      <w:r w:rsidRPr="00B3756F">
        <w:rPr>
          <w:rFonts w:ascii="Cambria" w:hAnsi="Cambria" w:cs="Times New Roman"/>
          <w:sz w:val="24"/>
          <w:szCs w:val="24"/>
        </w:rPr>
        <w:t>3</w:t>
      </w:r>
      <w:r w:rsidR="00B3756F" w:rsidRPr="00B3756F">
        <w:rPr>
          <w:rFonts w:ascii="Cambria" w:hAnsi="Cambria" w:cs="Times New Roman"/>
          <w:sz w:val="24"/>
          <w:szCs w:val="24"/>
        </w:rPr>
        <w:t>0</w:t>
      </w:r>
      <w:r w:rsidRPr="00B3756F">
        <w:rPr>
          <w:rFonts w:ascii="Cambria" w:hAnsi="Cambria" w:cs="Times New Roman"/>
          <w:sz w:val="24"/>
          <w:szCs w:val="24"/>
        </w:rPr>
        <w:t>.</w:t>
      </w:r>
      <w:r w:rsidR="00E64629">
        <w:rPr>
          <w:rFonts w:ascii="Cambria" w:hAnsi="Cambria" w:cs="Times New Roman"/>
          <w:sz w:val="24"/>
          <w:szCs w:val="24"/>
        </w:rPr>
        <w:t>0</w:t>
      </w:r>
      <w:r w:rsidR="00B3756F" w:rsidRPr="00B3756F">
        <w:rPr>
          <w:rFonts w:ascii="Cambria" w:hAnsi="Cambria" w:cs="Times New Roman"/>
          <w:sz w:val="24"/>
          <w:szCs w:val="24"/>
        </w:rPr>
        <w:t>6</w:t>
      </w:r>
      <w:r w:rsidRPr="00B3756F">
        <w:rPr>
          <w:rFonts w:ascii="Cambria" w:hAnsi="Cambria" w:cs="Times New Roman"/>
          <w:sz w:val="24"/>
          <w:szCs w:val="24"/>
        </w:rPr>
        <w:t>.20</w:t>
      </w:r>
      <w:r w:rsidR="00274D96" w:rsidRPr="00B3756F">
        <w:rPr>
          <w:rFonts w:ascii="Cambria" w:hAnsi="Cambria" w:cs="Times New Roman"/>
          <w:sz w:val="24"/>
          <w:szCs w:val="24"/>
        </w:rPr>
        <w:t>2</w:t>
      </w:r>
      <w:r w:rsidR="00B3756F" w:rsidRPr="00B3756F">
        <w:rPr>
          <w:rFonts w:ascii="Cambria" w:hAnsi="Cambria" w:cs="Times New Roman"/>
          <w:sz w:val="24"/>
          <w:szCs w:val="24"/>
        </w:rPr>
        <w:t>3</w:t>
      </w:r>
      <w:r w:rsidRPr="008775D5">
        <w:rPr>
          <w:rFonts w:ascii="Cambria" w:hAnsi="Cambria" w:cs="Times New Roman"/>
          <w:sz w:val="24"/>
          <w:szCs w:val="24"/>
        </w:rPr>
        <w:t>.</w:t>
      </w:r>
      <w:r w:rsidR="0083243E">
        <w:rPr>
          <w:rFonts w:ascii="Cambria" w:hAnsi="Cambria" w:cs="Times New Roman"/>
          <w:sz w:val="24"/>
          <w:szCs w:val="24"/>
        </w:rPr>
        <w:t xml:space="preserve"> </w:t>
      </w:r>
      <w:r w:rsidRPr="008775D5">
        <w:rPr>
          <w:rFonts w:ascii="Cambria" w:hAnsi="Cambria" w:cs="Times New Roman"/>
          <w:sz w:val="24"/>
          <w:szCs w:val="24"/>
        </w:rPr>
        <w:t xml:space="preserve">godine </w:t>
      </w:r>
      <w:r w:rsidR="0022446A" w:rsidRPr="008775D5">
        <w:rPr>
          <w:rFonts w:ascii="Cambria" w:hAnsi="Cambria" w:cs="Times New Roman"/>
          <w:sz w:val="24"/>
          <w:szCs w:val="24"/>
        </w:rPr>
        <w:t>pozajm</w:t>
      </w:r>
      <w:r w:rsidR="00274D96" w:rsidRPr="008775D5">
        <w:rPr>
          <w:rFonts w:ascii="Cambria" w:hAnsi="Cambria" w:cs="Times New Roman"/>
          <w:sz w:val="24"/>
          <w:szCs w:val="24"/>
        </w:rPr>
        <w:t>ica</w:t>
      </w:r>
      <w:r w:rsidRPr="008775D5">
        <w:rPr>
          <w:rFonts w:ascii="Cambria" w:hAnsi="Cambria" w:cs="Times New Roman"/>
          <w:sz w:val="24"/>
          <w:szCs w:val="24"/>
        </w:rPr>
        <w:t xml:space="preserve"> drugom pr</w:t>
      </w:r>
      <w:r w:rsidR="004C1126" w:rsidRPr="008775D5">
        <w:rPr>
          <w:rFonts w:ascii="Cambria" w:hAnsi="Cambria" w:cs="Times New Roman"/>
          <w:sz w:val="24"/>
          <w:szCs w:val="24"/>
        </w:rPr>
        <w:t xml:space="preserve">avnom licu </w:t>
      </w:r>
      <w:r w:rsidR="00BD0889">
        <w:rPr>
          <w:rFonts w:ascii="Cambria" w:hAnsi="Cambria" w:cs="Times New Roman"/>
          <w:sz w:val="24"/>
          <w:szCs w:val="24"/>
        </w:rPr>
        <w:t xml:space="preserve">je </w:t>
      </w:r>
      <w:r w:rsidR="004C1126" w:rsidRPr="008775D5">
        <w:rPr>
          <w:rFonts w:ascii="Cambria" w:hAnsi="Cambria" w:cs="Times New Roman"/>
          <w:sz w:val="24"/>
          <w:szCs w:val="24"/>
        </w:rPr>
        <w:t xml:space="preserve">u ukupnom iznosu od </w:t>
      </w:r>
      <w:r w:rsidR="005016DF" w:rsidRPr="008775D5">
        <w:rPr>
          <w:rFonts w:ascii="Cambria" w:hAnsi="Cambria" w:cs="Times New Roman"/>
          <w:sz w:val="24"/>
          <w:szCs w:val="24"/>
          <w:lang w:val="sr-Cyrl-BA"/>
        </w:rPr>
        <w:t>2</w:t>
      </w:r>
      <w:r w:rsidR="00B3756F">
        <w:rPr>
          <w:rFonts w:ascii="Cambria" w:hAnsi="Cambria" w:cs="Times New Roman"/>
          <w:sz w:val="24"/>
          <w:szCs w:val="24"/>
          <w:lang w:val="sr-Latn-BA"/>
        </w:rPr>
        <w:t>42</w:t>
      </w:r>
      <w:r w:rsidR="005016DF" w:rsidRPr="008775D5">
        <w:rPr>
          <w:rFonts w:ascii="Cambria" w:hAnsi="Cambria" w:cs="Times New Roman"/>
          <w:sz w:val="24"/>
          <w:szCs w:val="24"/>
          <w:lang w:val="sr-Cyrl-BA"/>
        </w:rPr>
        <w:t>.</w:t>
      </w:r>
      <w:r w:rsidR="00B3756F">
        <w:rPr>
          <w:rFonts w:ascii="Cambria" w:hAnsi="Cambria" w:cs="Times New Roman"/>
          <w:sz w:val="24"/>
          <w:szCs w:val="24"/>
          <w:lang w:val="sr-Latn-BA"/>
        </w:rPr>
        <w:t>7</w:t>
      </w:r>
      <w:r w:rsidR="005016DF" w:rsidRPr="008775D5">
        <w:rPr>
          <w:rFonts w:ascii="Cambria" w:hAnsi="Cambria" w:cs="Times New Roman"/>
          <w:sz w:val="24"/>
          <w:szCs w:val="24"/>
          <w:lang w:val="sr-Cyrl-BA"/>
        </w:rPr>
        <w:t xml:space="preserve">00 </w:t>
      </w:r>
      <w:r w:rsidRPr="008775D5">
        <w:rPr>
          <w:rFonts w:ascii="Cambria" w:hAnsi="Cambria" w:cs="Times New Roman"/>
          <w:sz w:val="24"/>
          <w:szCs w:val="24"/>
        </w:rPr>
        <w:t>KM</w:t>
      </w:r>
      <w:r w:rsidR="005016DF" w:rsidRPr="008775D5">
        <w:rPr>
          <w:rFonts w:ascii="Cambria" w:hAnsi="Cambria" w:cs="Times New Roman"/>
          <w:sz w:val="24"/>
          <w:szCs w:val="24"/>
          <w:lang w:val="sr-Cyrl-BA"/>
        </w:rPr>
        <w:t>.</w:t>
      </w:r>
      <w:r w:rsidRPr="008775D5">
        <w:rPr>
          <w:rFonts w:ascii="Cambria" w:hAnsi="Cambria" w:cs="Times New Roman"/>
          <w:sz w:val="24"/>
          <w:szCs w:val="24"/>
        </w:rPr>
        <w:t xml:space="preserve"> </w:t>
      </w:r>
    </w:p>
    <w:p w14:paraId="37E81AD0" w14:textId="72C54DBE" w:rsidR="00123216" w:rsidRPr="008775D5" w:rsidRDefault="005F3FA9" w:rsidP="00235D4F">
      <w:pPr>
        <w:spacing w:line="240" w:lineRule="auto"/>
        <w:jc w:val="both"/>
        <w:rPr>
          <w:rFonts w:ascii="Cambria" w:hAnsi="Cambria" w:cs="Times New Roman"/>
          <w:bCs/>
          <w:i/>
          <w:sz w:val="24"/>
          <w:szCs w:val="24"/>
        </w:rPr>
      </w:pPr>
      <w:r w:rsidRPr="008775D5">
        <w:rPr>
          <w:rFonts w:ascii="Cambria" w:hAnsi="Cambria" w:cs="Times New Roman"/>
          <w:bCs/>
          <w:i/>
          <w:sz w:val="24"/>
          <w:szCs w:val="24"/>
        </w:rPr>
        <w:t xml:space="preserve">Gotovina i gotovinski ekvivalenti </w:t>
      </w:r>
    </w:p>
    <w:p w14:paraId="2537B23F" w14:textId="4E09F687" w:rsidR="00123216" w:rsidRPr="008775D5" w:rsidRDefault="005B6CEA" w:rsidP="00A15815">
      <w:pPr>
        <w:spacing w:line="240" w:lineRule="auto"/>
        <w:jc w:val="both"/>
        <w:rPr>
          <w:rFonts w:ascii="Cambria" w:hAnsi="Cambria" w:cs="Times New Roman"/>
          <w:sz w:val="24"/>
          <w:szCs w:val="24"/>
        </w:rPr>
      </w:pPr>
      <w:r w:rsidRPr="008775D5">
        <w:rPr>
          <w:rFonts w:ascii="Cambria" w:hAnsi="Cambria" w:cs="Times New Roman"/>
          <w:sz w:val="24"/>
          <w:szCs w:val="24"/>
        </w:rPr>
        <w:t>Gotovinski ekvivalenti i gotovina uključuju gotovinu u blagajni, depozite kod komercijalnih banaka, kao i visoko likvidna sredstva koja se mogu brzo konvertovati u poznate iznose gotovine, uz beznačajan rizik od promjene vrijednosti.</w:t>
      </w:r>
    </w:p>
    <w:p w14:paraId="7E3E0224" w14:textId="77777777" w:rsidR="005F3FA9" w:rsidRPr="008775D5" w:rsidRDefault="005F3FA9" w:rsidP="00235D4F">
      <w:pPr>
        <w:spacing w:line="240" w:lineRule="auto"/>
        <w:jc w:val="both"/>
        <w:rPr>
          <w:rFonts w:ascii="Cambria" w:hAnsi="Cambria" w:cs="Times New Roman"/>
          <w:bCs/>
          <w:i/>
          <w:sz w:val="24"/>
          <w:szCs w:val="24"/>
        </w:rPr>
      </w:pPr>
      <w:r w:rsidRPr="008775D5">
        <w:rPr>
          <w:rFonts w:ascii="Cambria" w:hAnsi="Cambria" w:cs="Times New Roman"/>
          <w:bCs/>
          <w:i/>
          <w:sz w:val="24"/>
          <w:szCs w:val="24"/>
        </w:rPr>
        <w:t xml:space="preserve">Vrijednovanje finansijskih sredstava </w:t>
      </w:r>
    </w:p>
    <w:p w14:paraId="0E0ABEE5" w14:textId="77777777" w:rsidR="005B6CEA" w:rsidRPr="008775D5" w:rsidRDefault="005F3FA9" w:rsidP="00235D4F">
      <w:pPr>
        <w:spacing w:line="240" w:lineRule="auto"/>
        <w:jc w:val="both"/>
        <w:rPr>
          <w:rFonts w:ascii="Cambria" w:hAnsi="Cambria" w:cs="Times New Roman"/>
          <w:sz w:val="24"/>
          <w:szCs w:val="24"/>
        </w:rPr>
      </w:pPr>
      <w:r w:rsidRPr="008775D5">
        <w:rPr>
          <w:rFonts w:ascii="Cambria" w:hAnsi="Cambria" w:cs="Times New Roman"/>
          <w:sz w:val="24"/>
          <w:szCs w:val="24"/>
        </w:rPr>
        <w:t>Krediti i potraživanja, kao i finansijska sredstva koje se drže do dospijeća, vr</w:t>
      </w:r>
      <w:r w:rsidR="000D2E43" w:rsidRPr="008775D5">
        <w:rPr>
          <w:rFonts w:ascii="Cambria" w:hAnsi="Cambria" w:cs="Times New Roman"/>
          <w:sz w:val="24"/>
          <w:szCs w:val="24"/>
        </w:rPr>
        <w:t>e</w:t>
      </w:r>
      <w:r w:rsidRPr="008775D5">
        <w:rPr>
          <w:rFonts w:ascii="Cambria" w:hAnsi="Cambria" w:cs="Times New Roman"/>
          <w:sz w:val="24"/>
          <w:szCs w:val="24"/>
        </w:rPr>
        <w:t>dnuju se po amortizovanoj vrijednosti korišćenjem metoda efektivne kamatne stope.</w:t>
      </w:r>
    </w:p>
    <w:p w14:paraId="2BE51671" w14:textId="5E195310" w:rsidR="005F3FA9" w:rsidRPr="008775D5" w:rsidRDefault="005B6CEA" w:rsidP="00235D4F">
      <w:pPr>
        <w:spacing w:line="240" w:lineRule="auto"/>
        <w:jc w:val="both"/>
        <w:rPr>
          <w:rFonts w:ascii="Cambria" w:hAnsi="Cambria" w:cs="Times New Roman"/>
          <w:sz w:val="24"/>
          <w:szCs w:val="24"/>
        </w:rPr>
      </w:pPr>
      <w:r w:rsidRPr="008775D5">
        <w:rPr>
          <w:rFonts w:ascii="Cambria" w:hAnsi="Cambria" w:cs="Times New Roman"/>
          <w:sz w:val="24"/>
          <w:szCs w:val="24"/>
        </w:rPr>
        <w:t>Potraživanja od kupaca se početno vrednuju po cijeni transakcije, ako potraživanja ne sadrže značajnu komponentu finansiranja u skladu sa MSFI 15.</w:t>
      </w:r>
    </w:p>
    <w:p w14:paraId="55B4E23E" w14:textId="21A2C8EE" w:rsidR="005B6CEA" w:rsidRPr="008775D5" w:rsidRDefault="005B6CEA" w:rsidP="00235D4F">
      <w:pPr>
        <w:spacing w:line="240" w:lineRule="auto"/>
        <w:jc w:val="both"/>
        <w:rPr>
          <w:rFonts w:ascii="Cambria" w:hAnsi="Cambria" w:cs="Times New Roman"/>
          <w:sz w:val="24"/>
          <w:szCs w:val="24"/>
        </w:rPr>
      </w:pPr>
      <w:r w:rsidRPr="008775D5">
        <w:rPr>
          <w:rFonts w:ascii="Cambria" w:hAnsi="Cambria" w:cs="Times New Roman"/>
          <w:sz w:val="24"/>
          <w:szCs w:val="24"/>
        </w:rPr>
        <w:t>Potraživanja se umanjuju za očekivanje kreditne gubitke tokom njihovog vijeka trajanja.</w:t>
      </w:r>
    </w:p>
    <w:p w14:paraId="7D030BB4" w14:textId="20A30783" w:rsidR="005B6CEA" w:rsidRPr="008775D5" w:rsidRDefault="005B6CEA" w:rsidP="00235D4F">
      <w:pPr>
        <w:spacing w:line="240" w:lineRule="auto"/>
        <w:jc w:val="both"/>
        <w:rPr>
          <w:rFonts w:ascii="Cambria" w:hAnsi="Cambria" w:cs="Times New Roman"/>
          <w:sz w:val="24"/>
          <w:szCs w:val="24"/>
        </w:rPr>
      </w:pPr>
      <w:r w:rsidRPr="008775D5">
        <w:rPr>
          <w:rFonts w:ascii="Cambria" w:hAnsi="Cambria" w:cs="Times New Roman"/>
          <w:sz w:val="24"/>
          <w:szCs w:val="24"/>
        </w:rPr>
        <w:t xml:space="preserve">Otpis kratkoročnih potraživanja i plasmana, kod kojih postoji vjerovatnoča nenaplativosti vrši se indirektim otpisivanjem, dok se u slučajevima kada je nemogućnost naplate izvjesna i </w:t>
      </w:r>
      <w:r w:rsidR="007B6A23" w:rsidRPr="008775D5">
        <w:rPr>
          <w:rFonts w:ascii="Cambria" w:hAnsi="Cambria" w:cs="Times New Roman"/>
          <w:sz w:val="24"/>
          <w:szCs w:val="24"/>
        </w:rPr>
        <w:t>d</w:t>
      </w:r>
      <w:r w:rsidRPr="008775D5">
        <w:rPr>
          <w:rFonts w:ascii="Cambria" w:hAnsi="Cambria" w:cs="Times New Roman"/>
          <w:sz w:val="24"/>
          <w:szCs w:val="24"/>
        </w:rPr>
        <w:t>okumentovana otpis, u cijelini ili djelimično, vrši direktnim otpisivanjem.</w:t>
      </w:r>
    </w:p>
    <w:p w14:paraId="1716FFBD" w14:textId="7B54F2C7" w:rsidR="005B6CEA" w:rsidRPr="008775D5" w:rsidRDefault="005B6CEA" w:rsidP="00235D4F">
      <w:pPr>
        <w:spacing w:line="240" w:lineRule="auto"/>
        <w:jc w:val="both"/>
        <w:rPr>
          <w:rFonts w:ascii="Cambria" w:hAnsi="Cambria" w:cs="Times New Roman"/>
          <w:sz w:val="24"/>
          <w:szCs w:val="24"/>
        </w:rPr>
      </w:pPr>
      <w:r w:rsidRPr="008775D5">
        <w:rPr>
          <w:rFonts w:ascii="Cambria" w:hAnsi="Cambria" w:cs="Times New Roman"/>
          <w:sz w:val="24"/>
          <w:szCs w:val="24"/>
        </w:rPr>
        <w:t>U procjeni odgovarajućeg iznosa gubitka od obezvređivanja za sumnjiva potraživanja, Društvo se oslanja na starost potraživanja, ranije iskustvo sa otpisom, i promjene u uslovima plaćanja. Ovo zahtjeva procjene vezane za buduće naplate. Stvarni nivo potraživanja koja su naplaćena može da se razlikuje od procijenjenih nivoa naplate, što može pozitivno ili negativno da se odrazi na rezultate</w:t>
      </w:r>
      <w:r w:rsidR="007B6A23" w:rsidRPr="008775D5">
        <w:rPr>
          <w:rFonts w:ascii="Cambria" w:hAnsi="Cambria" w:cs="Times New Roman"/>
          <w:sz w:val="24"/>
          <w:szCs w:val="24"/>
        </w:rPr>
        <w:t xml:space="preserve"> poslovanja. Odluku o indirektnom otpisu, odnosno ispravci vrijedonsti potraživanja preko računa ispravke vrijednosti donosi rukovodstvo Društva. Otpis potraživanja se vrši pod uslovom da su potraživanja prethodno bila uključena u prihode Društva, da je potraživanje u knjigama Društva otpisano kao nenaplativo i da Društvo nije moglo da naplati potraživanje sudskim putem. Odluku o direktnom otpisu potraživanja donose izvršni direktori Društva.</w:t>
      </w:r>
    </w:p>
    <w:p w14:paraId="433096B8" w14:textId="77777777" w:rsidR="00D254BB" w:rsidRDefault="00D254BB" w:rsidP="00235D4F">
      <w:pPr>
        <w:spacing w:line="240" w:lineRule="auto"/>
        <w:jc w:val="both"/>
        <w:rPr>
          <w:rFonts w:ascii="Cambria" w:hAnsi="Cambria" w:cs="Times New Roman"/>
          <w:bCs/>
          <w:i/>
          <w:sz w:val="24"/>
          <w:szCs w:val="24"/>
        </w:rPr>
      </w:pPr>
    </w:p>
    <w:p w14:paraId="0E9AAE2B" w14:textId="4C891D29" w:rsidR="005F3FA9" w:rsidRPr="008775D5" w:rsidRDefault="005F3FA9" w:rsidP="00235D4F">
      <w:pPr>
        <w:spacing w:line="240" w:lineRule="auto"/>
        <w:jc w:val="both"/>
        <w:rPr>
          <w:rFonts w:ascii="Cambria" w:hAnsi="Cambria" w:cs="Times New Roman"/>
          <w:bCs/>
          <w:i/>
          <w:sz w:val="24"/>
          <w:szCs w:val="24"/>
        </w:rPr>
      </w:pPr>
      <w:r w:rsidRPr="008775D5">
        <w:rPr>
          <w:rFonts w:ascii="Cambria" w:hAnsi="Cambria" w:cs="Times New Roman"/>
          <w:bCs/>
          <w:i/>
          <w:sz w:val="24"/>
          <w:szCs w:val="24"/>
        </w:rPr>
        <w:lastRenderedPageBreak/>
        <w:t xml:space="preserve">Vrijednovanje po amortizovanim vrijednostima </w:t>
      </w:r>
    </w:p>
    <w:p w14:paraId="5F18552D" w14:textId="681C44F3" w:rsidR="005F3FA9" w:rsidRPr="008775D5" w:rsidRDefault="005F3FA9" w:rsidP="00235D4F">
      <w:pPr>
        <w:spacing w:line="240" w:lineRule="auto"/>
        <w:jc w:val="both"/>
        <w:rPr>
          <w:rFonts w:ascii="Cambria" w:hAnsi="Cambria" w:cs="Times New Roman"/>
          <w:sz w:val="24"/>
          <w:szCs w:val="24"/>
        </w:rPr>
      </w:pPr>
      <w:r w:rsidRPr="008775D5">
        <w:rPr>
          <w:rFonts w:ascii="Cambria" w:hAnsi="Cambria" w:cs="Times New Roman"/>
          <w:sz w:val="24"/>
          <w:szCs w:val="24"/>
        </w:rPr>
        <w:t xml:space="preserve">Amortizovana vrijednost finansijskog sredstva je iznos po kome se sredstva inicijalno vrednuju, umanjen za otplate glavnice, a uvećan ili umanjen za akumuliranu amortizaciju korišćenjem metoda efektivne kamatne stope. </w:t>
      </w:r>
    </w:p>
    <w:p w14:paraId="438889F9" w14:textId="77777777" w:rsidR="005F3FA9" w:rsidRPr="008775D5" w:rsidRDefault="005F3FA9" w:rsidP="00235D4F">
      <w:pPr>
        <w:spacing w:line="240" w:lineRule="auto"/>
        <w:jc w:val="both"/>
        <w:rPr>
          <w:rFonts w:ascii="Cambria" w:hAnsi="Cambria" w:cs="Times New Roman"/>
          <w:bCs/>
          <w:i/>
          <w:sz w:val="24"/>
          <w:szCs w:val="24"/>
        </w:rPr>
      </w:pPr>
      <w:r w:rsidRPr="008775D5">
        <w:rPr>
          <w:rFonts w:ascii="Cambria" w:hAnsi="Cambria" w:cs="Times New Roman"/>
          <w:bCs/>
          <w:i/>
          <w:sz w:val="24"/>
          <w:szCs w:val="24"/>
        </w:rPr>
        <w:t>Vrijednovanje po fer vrijednosti</w:t>
      </w:r>
    </w:p>
    <w:p w14:paraId="6821DB23" w14:textId="04F2C4D1" w:rsidR="003E21EF" w:rsidRPr="008775D5" w:rsidRDefault="005F3FA9" w:rsidP="00235D4F">
      <w:pPr>
        <w:spacing w:line="240" w:lineRule="auto"/>
        <w:jc w:val="both"/>
        <w:rPr>
          <w:rFonts w:ascii="Cambria" w:hAnsi="Cambria" w:cs="Times New Roman"/>
          <w:sz w:val="24"/>
          <w:szCs w:val="24"/>
        </w:rPr>
      </w:pPr>
      <w:r w:rsidRPr="008775D5">
        <w:rPr>
          <w:rFonts w:ascii="Cambria" w:hAnsi="Cambria" w:cs="Times New Roman"/>
          <w:sz w:val="24"/>
          <w:szCs w:val="24"/>
        </w:rPr>
        <w:t xml:space="preserve">Fer vrijednost pojedinih finansijskih instrumenata iskazanih po nominalnoj vrijednosti je približno jednaka njihovoj knjigovodstvenoj vrijednosti. Ovi instrumenti obuhvataju gotovinu, kao i potraživanja i obaveze koje nemaju ugovoreno dospijeće, ni ugovorenu fiksnu kamatnu stopu. Ostala potraživanja i obaveze se svode na sadašnju vrijednost diskontovanjem budućih novčanih tokova uz korišćenje tekućih kamatnih stopa. Rukovodstvo je mišljenja da usled prirode poslovanja Društva i njegovih opštih politika, nema značajnih razlika između knjigovodstvene i fer vrijednosti finansijskih sredstava i obaveza. </w:t>
      </w:r>
    </w:p>
    <w:p w14:paraId="75E0CB11" w14:textId="541D3A21" w:rsidR="003E21EF" w:rsidRPr="008775D5" w:rsidRDefault="007B6A23" w:rsidP="00235D4F">
      <w:pPr>
        <w:spacing w:line="240" w:lineRule="auto"/>
        <w:jc w:val="both"/>
        <w:rPr>
          <w:rFonts w:ascii="Cambria" w:hAnsi="Cambria" w:cs="Times New Roman"/>
          <w:b/>
          <w:i/>
          <w:sz w:val="24"/>
          <w:szCs w:val="24"/>
        </w:rPr>
      </w:pPr>
      <w:r w:rsidRPr="008775D5">
        <w:rPr>
          <w:rFonts w:ascii="Cambria" w:hAnsi="Cambria" w:cs="Times New Roman"/>
          <w:b/>
          <w:i/>
          <w:sz w:val="24"/>
          <w:szCs w:val="24"/>
        </w:rPr>
        <w:t xml:space="preserve">     3.2.2.</w:t>
      </w:r>
      <w:r w:rsidR="003E21EF" w:rsidRPr="008775D5">
        <w:rPr>
          <w:rFonts w:ascii="Cambria" w:hAnsi="Cambria" w:cs="Times New Roman"/>
          <w:b/>
          <w:i/>
          <w:sz w:val="24"/>
          <w:szCs w:val="24"/>
        </w:rPr>
        <w:t>Finansijske obaveze</w:t>
      </w:r>
    </w:p>
    <w:p w14:paraId="7CE3758A" w14:textId="3E8CBC1C" w:rsidR="00B926F3" w:rsidRPr="008775D5" w:rsidRDefault="00B926F3" w:rsidP="00235D4F">
      <w:pPr>
        <w:spacing w:line="240" w:lineRule="auto"/>
        <w:jc w:val="both"/>
        <w:rPr>
          <w:rFonts w:ascii="Cambria" w:hAnsi="Cambria" w:cs="Times New Roman"/>
          <w:bCs/>
          <w:iCs/>
          <w:sz w:val="24"/>
          <w:szCs w:val="24"/>
        </w:rPr>
      </w:pPr>
      <w:r w:rsidRPr="008775D5">
        <w:rPr>
          <w:rFonts w:ascii="Cambria" w:hAnsi="Cambria" w:cs="Times New Roman"/>
          <w:bCs/>
          <w:iCs/>
          <w:sz w:val="24"/>
          <w:szCs w:val="24"/>
        </w:rPr>
        <w:t>U skladu sa MSFI 9, Društvo sve finansijske obaveze klasifikuje po amortizovanoj vrijednosti.</w:t>
      </w:r>
    </w:p>
    <w:p w14:paraId="381946EE" w14:textId="7EE05EB3" w:rsidR="00B926F3" w:rsidRPr="008775D5" w:rsidRDefault="00B926F3" w:rsidP="00235D4F">
      <w:pPr>
        <w:spacing w:line="240" w:lineRule="auto"/>
        <w:jc w:val="both"/>
        <w:rPr>
          <w:rFonts w:ascii="Cambria" w:hAnsi="Cambria" w:cs="Times New Roman"/>
          <w:bCs/>
          <w:iCs/>
          <w:sz w:val="24"/>
          <w:szCs w:val="24"/>
        </w:rPr>
      </w:pPr>
      <w:r w:rsidRPr="008775D5">
        <w:rPr>
          <w:rFonts w:ascii="Cambria" w:hAnsi="Cambria" w:cs="Times New Roman"/>
          <w:bCs/>
          <w:iCs/>
          <w:sz w:val="24"/>
          <w:szCs w:val="24"/>
        </w:rPr>
        <w:t>Finansijske obaveze se početno priznaju po fer vrijednosti uvećanoj za troškove transakcije koji se mogu direktno pripisati sticanju ili emitovanju finansijske obaveze.</w:t>
      </w:r>
    </w:p>
    <w:p w14:paraId="009DE467" w14:textId="3620125A" w:rsidR="00B926F3" w:rsidRPr="008775D5" w:rsidRDefault="00B926F3" w:rsidP="00235D4F">
      <w:pPr>
        <w:spacing w:line="240" w:lineRule="auto"/>
        <w:jc w:val="both"/>
        <w:rPr>
          <w:rFonts w:ascii="Cambria" w:hAnsi="Cambria" w:cs="Times New Roman"/>
          <w:bCs/>
          <w:iCs/>
          <w:sz w:val="24"/>
          <w:szCs w:val="24"/>
        </w:rPr>
      </w:pPr>
      <w:r w:rsidRPr="008775D5">
        <w:rPr>
          <w:rFonts w:ascii="Cambria" w:hAnsi="Cambria" w:cs="Times New Roman"/>
          <w:bCs/>
          <w:iCs/>
          <w:sz w:val="24"/>
          <w:szCs w:val="24"/>
        </w:rPr>
        <w:t>Finansijske obaveze Društva uključuju obaveze prema dobavljačima i ostale obaveze iz poslovanja, te kredite i pozajmice.</w:t>
      </w:r>
    </w:p>
    <w:p w14:paraId="249E38E0" w14:textId="3A12EF1B" w:rsidR="00BD0889" w:rsidRPr="008775D5" w:rsidRDefault="00B926F3" w:rsidP="00235D4F">
      <w:pPr>
        <w:spacing w:line="240" w:lineRule="auto"/>
        <w:jc w:val="both"/>
        <w:rPr>
          <w:rFonts w:ascii="Cambria" w:hAnsi="Cambria" w:cs="Times New Roman"/>
          <w:bCs/>
          <w:iCs/>
          <w:sz w:val="24"/>
          <w:szCs w:val="24"/>
        </w:rPr>
      </w:pPr>
      <w:r w:rsidRPr="008775D5">
        <w:rPr>
          <w:rFonts w:ascii="Cambria" w:hAnsi="Cambria" w:cs="Times New Roman"/>
          <w:bCs/>
          <w:iCs/>
          <w:sz w:val="24"/>
          <w:szCs w:val="24"/>
        </w:rPr>
        <w:t>Obaveza je tekuća ukoliko se očekuje da bude izmirena u redovnom toku poslovnog ciklusa Društva odnosno koja dospijeva u periodu od 12 mjeseci nakon datuma bilansa stanja. Sve ostale obaveze se klasifikuju kao dugoročne.</w:t>
      </w:r>
    </w:p>
    <w:p w14:paraId="0393ACD5" w14:textId="57C9F3F9" w:rsidR="00B926F3" w:rsidRPr="008775D5" w:rsidRDefault="00B926F3" w:rsidP="00235D4F">
      <w:pPr>
        <w:spacing w:line="240" w:lineRule="auto"/>
        <w:jc w:val="both"/>
        <w:rPr>
          <w:rFonts w:ascii="Cambria" w:hAnsi="Cambria" w:cs="Times New Roman"/>
          <w:b/>
          <w:i/>
          <w:sz w:val="24"/>
          <w:szCs w:val="24"/>
        </w:rPr>
      </w:pPr>
      <w:r w:rsidRPr="008775D5">
        <w:rPr>
          <w:rFonts w:ascii="Cambria" w:hAnsi="Cambria" w:cs="Times New Roman"/>
          <w:bCs/>
          <w:iCs/>
          <w:sz w:val="24"/>
          <w:szCs w:val="24"/>
        </w:rPr>
        <w:t xml:space="preserve">     </w:t>
      </w:r>
      <w:r w:rsidRPr="008775D5">
        <w:rPr>
          <w:rFonts w:ascii="Cambria" w:hAnsi="Cambria" w:cs="Times New Roman"/>
          <w:b/>
          <w:i/>
          <w:sz w:val="24"/>
          <w:szCs w:val="24"/>
        </w:rPr>
        <w:t xml:space="preserve">3.2.3 </w:t>
      </w:r>
      <w:r w:rsidR="00452826" w:rsidRPr="008775D5">
        <w:rPr>
          <w:rFonts w:ascii="Cambria" w:hAnsi="Cambria" w:cs="Times New Roman"/>
          <w:b/>
          <w:i/>
          <w:sz w:val="24"/>
          <w:szCs w:val="24"/>
        </w:rPr>
        <w:t>Prestanak priznavanja finansijskih instrumenata</w:t>
      </w:r>
    </w:p>
    <w:p w14:paraId="524E08B2" w14:textId="5A7EE2AA" w:rsidR="00A91CA3" w:rsidRPr="008775D5" w:rsidRDefault="001114BD" w:rsidP="00235D4F">
      <w:pPr>
        <w:spacing w:line="240" w:lineRule="auto"/>
        <w:jc w:val="both"/>
        <w:rPr>
          <w:rFonts w:ascii="Cambria" w:hAnsi="Cambria" w:cs="Times New Roman"/>
          <w:i/>
          <w:iCs/>
          <w:sz w:val="24"/>
          <w:szCs w:val="24"/>
        </w:rPr>
      </w:pPr>
      <w:r w:rsidRPr="008775D5">
        <w:rPr>
          <w:rFonts w:ascii="Cambria" w:hAnsi="Cambria" w:cs="Times New Roman"/>
          <w:i/>
          <w:iCs/>
          <w:sz w:val="24"/>
          <w:szCs w:val="24"/>
        </w:rPr>
        <w:t>Finansijska serdstva</w:t>
      </w:r>
      <w:r w:rsidR="007B6A23" w:rsidRPr="008775D5">
        <w:rPr>
          <w:rFonts w:ascii="Cambria" w:hAnsi="Cambria" w:cs="Times New Roman"/>
          <w:i/>
          <w:iCs/>
          <w:sz w:val="24"/>
          <w:szCs w:val="24"/>
        </w:rPr>
        <w:t xml:space="preserve"> </w:t>
      </w:r>
    </w:p>
    <w:p w14:paraId="50CA82CD" w14:textId="0642B775" w:rsidR="001114BD" w:rsidRPr="008775D5" w:rsidRDefault="001114BD" w:rsidP="00235D4F">
      <w:pPr>
        <w:spacing w:line="240" w:lineRule="auto"/>
        <w:jc w:val="both"/>
        <w:rPr>
          <w:rFonts w:ascii="Cambria" w:hAnsi="Cambria" w:cs="Times New Roman"/>
          <w:sz w:val="24"/>
          <w:szCs w:val="24"/>
        </w:rPr>
      </w:pPr>
      <w:r w:rsidRPr="008775D5">
        <w:rPr>
          <w:rFonts w:ascii="Cambria" w:hAnsi="Cambria" w:cs="Times New Roman"/>
          <w:sz w:val="24"/>
          <w:szCs w:val="24"/>
        </w:rPr>
        <w:t>Finansijsko sredstvo (ili dio finsnsijskog sredstva, ili grupe finansijskih sredstava) prestaje da se priznaje ukoliko je :</w:t>
      </w:r>
    </w:p>
    <w:p w14:paraId="4884AD3D" w14:textId="3117FEF0" w:rsidR="001114BD" w:rsidRPr="008775D5" w:rsidRDefault="001114BD" w:rsidP="001114BD">
      <w:pPr>
        <w:pStyle w:val="ListParagraph"/>
        <w:numPr>
          <w:ilvl w:val="0"/>
          <w:numId w:val="8"/>
        </w:numPr>
        <w:spacing w:line="240" w:lineRule="auto"/>
        <w:jc w:val="both"/>
        <w:rPr>
          <w:rFonts w:ascii="Cambria" w:hAnsi="Cambria" w:cs="Times New Roman"/>
          <w:bCs/>
          <w:sz w:val="24"/>
          <w:szCs w:val="24"/>
        </w:rPr>
      </w:pPr>
      <w:r w:rsidRPr="008775D5">
        <w:rPr>
          <w:rFonts w:ascii="Cambria" w:hAnsi="Cambria" w:cs="Times New Roman"/>
          <w:bCs/>
          <w:sz w:val="24"/>
          <w:szCs w:val="24"/>
        </w:rPr>
        <w:t>Došlo do isteka prava na priliv novca po osnovu tog sredstva;</w:t>
      </w:r>
    </w:p>
    <w:p w14:paraId="009C10E3" w14:textId="041FF527" w:rsidR="001114BD" w:rsidRPr="008775D5" w:rsidRDefault="001114BD" w:rsidP="001114BD">
      <w:pPr>
        <w:pStyle w:val="ListParagraph"/>
        <w:numPr>
          <w:ilvl w:val="0"/>
          <w:numId w:val="8"/>
        </w:numPr>
        <w:spacing w:line="240" w:lineRule="auto"/>
        <w:jc w:val="both"/>
        <w:rPr>
          <w:rFonts w:ascii="Cambria" w:hAnsi="Cambria" w:cs="Times New Roman"/>
          <w:bCs/>
          <w:sz w:val="24"/>
          <w:szCs w:val="24"/>
        </w:rPr>
      </w:pPr>
      <w:r w:rsidRPr="008775D5">
        <w:rPr>
          <w:rFonts w:ascii="Cambria" w:hAnsi="Cambria" w:cs="Times New Roman"/>
          <w:bCs/>
          <w:sz w:val="24"/>
          <w:szCs w:val="24"/>
        </w:rPr>
        <w:t>Društvo prenijelo finansijsko sredstvo i taj prenos se kvalifikuje za prestanak priznavanja u skladu sa paragrafom 3.2.6 MSFI 9.</w:t>
      </w:r>
    </w:p>
    <w:p w14:paraId="2F22FC6B" w14:textId="1C79DB95" w:rsidR="001114BD" w:rsidRPr="008775D5" w:rsidRDefault="001114BD" w:rsidP="001114BD">
      <w:pPr>
        <w:spacing w:line="240" w:lineRule="auto"/>
        <w:ind w:left="360"/>
        <w:jc w:val="both"/>
        <w:rPr>
          <w:rFonts w:ascii="Cambria" w:hAnsi="Cambria" w:cs="Times New Roman"/>
          <w:bCs/>
          <w:sz w:val="24"/>
          <w:szCs w:val="24"/>
        </w:rPr>
      </w:pPr>
      <w:r w:rsidRPr="008775D5">
        <w:rPr>
          <w:rFonts w:ascii="Cambria" w:hAnsi="Cambria" w:cs="Times New Roman"/>
          <w:bCs/>
          <w:sz w:val="24"/>
          <w:szCs w:val="24"/>
        </w:rPr>
        <w:t>Prenos finansijskih sredstava se vrši samo kada:</w:t>
      </w:r>
    </w:p>
    <w:p w14:paraId="09E9A8E4" w14:textId="32586F95" w:rsidR="001114BD" w:rsidRPr="008775D5" w:rsidRDefault="001114BD" w:rsidP="001114BD">
      <w:pPr>
        <w:pStyle w:val="ListParagraph"/>
        <w:numPr>
          <w:ilvl w:val="0"/>
          <w:numId w:val="11"/>
        </w:numPr>
        <w:spacing w:line="240" w:lineRule="auto"/>
        <w:jc w:val="both"/>
        <w:rPr>
          <w:rFonts w:ascii="Cambria" w:hAnsi="Cambria" w:cs="Times New Roman"/>
          <w:bCs/>
          <w:sz w:val="24"/>
          <w:szCs w:val="24"/>
        </w:rPr>
      </w:pPr>
      <w:r w:rsidRPr="008775D5">
        <w:rPr>
          <w:rFonts w:ascii="Cambria" w:hAnsi="Cambria" w:cs="Times New Roman"/>
          <w:bCs/>
          <w:sz w:val="24"/>
          <w:szCs w:val="24"/>
        </w:rPr>
        <w:t>Društvo prenosi ugovorena prava na primanje tokova gotovine od finansijskog sredstva; ili</w:t>
      </w:r>
    </w:p>
    <w:p w14:paraId="05BD877E" w14:textId="4D029157" w:rsidR="001114BD" w:rsidRPr="008775D5" w:rsidRDefault="001114BD" w:rsidP="001114BD">
      <w:pPr>
        <w:pStyle w:val="ListParagraph"/>
        <w:numPr>
          <w:ilvl w:val="0"/>
          <w:numId w:val="11"/>
        </w:numPr>
        <w:spacing w:line="240" w:lineRule="auto"/>
        <w:jc w:val="both"/>
        <w:rPr>
          <w:rFonts w:ascii="Cambria" w:hAnsi="Cambria" w:cs="Times New Roman"/>
          <w:bCs/>
          <w:sz w:val="24"/>
          <w:szCs w:val="24"/>
        </w:rPr>
      </w:pPr>
      <w:r w:rsidRPr="008775D5">
        <w:rPr>
          <w:rFonts w:ascii="Cambria" w:hAnsi="Cambria" w:cs="Times New Roman"/>
          <w:bCs/>
          <w:sz w:val="24"/>
          <w:szCs w:val="24"/>
        </w:rPr>
        <w:t>Društvo zadržava ugovorena prava na primanje tokova gotovine od finansijskog sredstva, ali je preuzelo ugovorenu obavezu da isplaćuje tokovo gotovine jednom ili više primalaca.</w:t>
      </w:r>
    </w:p>
    <w:p w14:paraId="53BD6AD3" w14:textId="77777777" w:rsidR="00D254BB" w:rsidRDefault="00D254BB" w:rsidP="00D254BB">
      <w:pPr>
        <w:spacing w:line="240" w:lineRule="auto"/>
        <w:jc w:val="both"/>
        <w:rPr>
          <w:rFonts w:ascii="Cambria" w:hAnsi="Cambria" w:cs="Times New Roman"/>
          <w:bCs/>
          <w:i/>
          <w:iCs/>
          <w:sz w:val="24"/>
          <w:szCs w:val="24"/>
        </w:rPr>
      </w:pPr>
    </w:p>
    <w:p w14:paraId="768EA6FF" w14:textId="036BA59F" w:rsidR="001114BD" w:rsidRPr="008775D5" w:rsidRDefault="001114BD" w:rsidP="00D254BB">
      <w:pPr>
        <w:spacing w:line="240" w:lineRule="auto"/>
        <w:jc w:val="both"/>
        <w:rPr>
          <w:rFonts w:ascii="Cambria" w:hAnsi="Cambria" w:cs="Times New Roman"/>
          <w:bCs/>
          <w:i/>
          <w:iCs/>
          <w:sz w:val="24"/>
          <w:szCs w:val="24"/>
        </w:rPr>
      </w:pPr>
      <w:r w:rsidRPr="008775D5">
        <w:rPr>
          <w:rFonts w:ascii="Cambria" w:hAnsi="Cambria" w:cs="Times New Roman"/>
          <w:bCs/>
          <w:i/>
          <w:iCs/>
          <w:sz w:val="24"/>
          <w:szCs w:val="24"/>
        </w:rPr>
        <w:lastRenderedPageBreak/>
        <w:t>Finansijske obaveze</w:t>
      </w:r>
    </w:p>
    <w:p w14:paraId="2F89ED2F" w14:textId="64F8BC18" w:rsidR="001114BD" w:rsidRPr="008775D5" w:rsidRDefault="001114BD" w:rsidP="00D254BB">
      <w:pPr>
        <w:spacing w:after="360" w:line="240" w:lineRule="auto"/>
        <w:jc w:val="both"/>
        <w:rPr>
          <w:rFonts w:ascii="Cambria" w:hAnsi="Cambria" w:cs="Times New Roman"/>
          <w:bCs/>
          <w:sz w:val="24"/>
          <w:szCs w:val="24"/>
        </w:rPr>
      </w:pPr>
      <w:r w:rsidRPr="008775D5">
        <w:rPr>
          <w:rFonts w:ascii="Cambria" w:hAnsi="Cambria" w:cs="Times New Roman"/>
          <w:bCs/>
          <w:sz w:val="24"/>
          <w:szCs w:val="24"/>
        </w:rPr>
        <w:t>Finansijska obaveza prestaje da se priznaje kada je ona ugašena, to jest kada je ugovorom određena obaveza ispunjena, otkazana ili je istekla.</w:t>
      </w:r>
    </w:p>
    <w:p w14:paraId="0EB60089" w14:textId="38CFBDDF" w:rsidR="003E21EF" w:rsidRPr="008775D5" w:rsidRDefault="003E21EF" w:rsidP="00235D4F">
      <w:pPr>
        <w:spacing w:line="240" w:lineRule="auto"/>
        <w:jc w:val="both"/>
        <w:rPr>
          <w:rFonts w:ascii="Cambria" w:hAnsi="Cambria" w:cs="Times New Roman"/>
          <w:b/>
          <w:sz w:val="24"/>
          <w:szCs w:val="24"/>
        </w:rPr>
      </w:pPr>
      <w:r w:rsidRPr="008775D5">
        <w:rPr>
          <w:rFonts w:ascii="Cambria" w:hAnsi="Cambria" w:cs="Times New Roman"/>
          <w:b/>
          <w:sz w:val="24"/>
          <w:szCs w:val="24"/>
        </w:rPr>
        <w:t>3.</w:t>
      </w:r>
      <w:r w:rsidR="001114BD" w:rsidRPr="008775D5">
        <w:rPr>
          <w:rFonts w:ascii="Cambria" w:hAnsi="Cambria" w:cs="Times New Roman"/>
          <w:b/>
          <w:sz w:val="24"/>
          <w:szCs w:val="24"/>
        </w:rPr>
        <w:t>3</w:t>
      </w:r>
      <w:r w:rsidRPr="008775D5">
        <w:rPr>
          <w:rFonts w:ascii="Cambria" w:hAnsi="Cambria" w:cs="Times New Roman"/>
          <w:b/>
          <w:sz w:val="24"/>
          <w:szCs w:val="24"/>
        </w:rPr>
        <w:t xml:space="preserve">. Osnovna sredstva </w:t>
      </w:r>
    </w:p>
    <w:p w14:paraId="13E8A034" w14:textId="77777777" w:rsidR="005A38C8" w:rsidRPr="008775D5" w:rsidRDefault="003E21EF" w:rsidP="00235D4F">
      <w:pPr>
        <w:spacing w:line="240" w:lineRule="auto"/>
        <w:jc w:val="both"/>
        <w:rPr>
          <w:rFonts w:ascii="Cambria" w:hAnsi="Cambria" w:cs="Times New Roman"/>
          <w:sz w:val="24"/>
          <w:szCs w:val="24"/>
        </w:rPr>
      </w:pPr>
      <w:r w:rsidRPr="008775D5">
        <w:rPr>
          <w:rFonts w:ascii="Cambria" w:hAnsi="Cambria" w:cs="Times New Roman"/>
          <w:sz w:val="24"/>
          <w:szCs w:val="24"/>
        </w:rPr>
        <w:t xml:space="preserve">Novonabavljena osnovna sredstva se vrednuju po nabavnoj vrijednosti koju čini vrijednost po fakturi dobavljača uvećana za troškove nabavke i aktiviranja i srazmjeran dio poreskih obaveza i troškova finansiranja. </w:t>
      </w:r>
    </w:p>
    <w:p w14:paraId="3DDDB89C" w14:textId="77777777" w:rsidR="005A38C8" w:rsidRPr="008775D5" w:rsidRDefault="003E21EF" w:rsidP="00235D4F">
      <w:pPr>
        <w:spacing w:line="240" w:lineRule="auto"/>
        <w:jc w:val="both"/>
        <w:rPr>
          <w:rFonts w:ascii="Cambria" w:hAnsi="Cambria" w:cs="Times New Roman"/>
          <w:sz w:val="24"/>
          <w:szCs w:val="24"/>
        </w:rPr>
      </w:pPr>
      <w:r w:rsidRPr="008775D5">
        <w:rPr>
          <w:rFonts w:ascii="Cambria" w:hAnsi="Cambria" w:cs="Times New Roman"/>
          <w:sz w:val="24"/>
          <w:szCs w:val="24"/>
        </w:rPr>
        <w:t xml:space="preserve">Izdaci za opremu se priznaju kao sredstvo ako i samo ako je verovatno da će buduće ekonomske koristi povezane sa tim sredstvom priticati u Društvo i ako se izdaci za to sredstvo mogu pouzdano mjeriti. </w:t>
      </w:r>
    </w:p>
    <w:p w14:paraId="65F524B0" w14:textId="77777777" w:rsidR="005A38C8" w:rsidRPr="008775D5" w:rsidRDefault="003E21EF" w:rsidP="00235D4F">
      <w:pPr>
        <w:spacing w:line="240" w:lineRule="auto"/>
        <w:jc w:val="both"/>
        <w:rPr>
          <w:rFonts w:ascii="Cambria" w:hAnsi="Cambria" w:cs="Times New Roman"/>
          <w:sz w:val="24"/>
          <w:szCs w:val="24"/>
        </w:rPr>
      </w:pPr>
      <w:r w:rsidRPr="008775D5">
        <w:rPr>
          <w:rFonts w:ascii="Cambria" w:hAnsi="Cambria" w:cs="Times New Roman"/>
          <w:sz w:val="24"/>
          <w:szCs w:val="24"/>
        </w:rPr>
        <w:t xml:space="preserve">Nabavke opreme tokom godine evidentirane su po nabavnoj vrijednosti koju čini faktura dobavljača uvećana za zavisne troškove nabavke i troškove dovođenja sredstva u stanje funkcionalne pripravnosti. </w:t>
      </w:r>
    </w:p>
    <w:p w14:paraId="334076AF" w14:textId="77777777" w:rsidR="005A38C8" w:rsidRPr="008775D5" w:rsidRDefault="003E21EF" w:rsidP="00235D4F">
      <w:pPr>
        <w:spacing w:line="240" w:lineRule="auto"/>
        <w:jc w:val="both"/>
        <w:rPr>
          <w:rFonts w:ascii="Cambria" w:hAnsi="Cambria" w:cs="Times New Roman"/>
          <w:sz w:val="24"/>
          <w:szCs w:val="24"/>
        </w:rPr>
      </w:pPr>
      <w:r w:rsidRPr="008775D5">
        <w:rPr>
          <w:rFonts w:ascii="Cambria" w:hAnsi="Cambria" w:cs="Times New Roman"/>
          <w:sz w:val="24"/>
          <w:szCs w:val="24"/>
        </w:rPr>
        <w:t xml:space="preserve">Saglasno usvojenoj računovodstvenoj politici, na dan bilansa stanja, rukovodstvo Društva analizira vrijednosti po kojima su prikazana nematerijalna i materijalna imovina Društva. Ukoliko postoji indikacija da je neko sredstvo obezvređeno, nadoknadiv iznos te imovine se procenjuje kako bi se utvrdio iznos obezvrijeđenja. </w:t>
      </w:r>
    </w:p>
    <w:p w14:paraId="24F4F482" w14:textId="77777777" w:rsidR="005A38C8" w:rsidRPr="008775D5" w:rsidRDefault="003E21EF" w:rsidP="00235D4F">
      <w:pPr>
        <w:spacing w:line="240" w:lineRule="auto"/>
        <w:jc w:val="both"/>
        <w:rPr>
          <w:rFonts w:ascii="Cambria" w:hAnsi="Cambria" w:cs="Times New Roman"/>
          <w:sz w:val="24"/>
          <w:szCs w:val="24"/>
          <w:lang w:val="de-DE"/>
        </w:rPr>
      </w:pPr>
      <w:r w:rsidRPr="008775D5">
        <w:rPr>
          <w:rFonts w:ascii="Cambria" w:hAnsi="Cambria" w:cs="Times New Roman"/>
          <w:sz w:val="24"/>
          <w:szCs w:val="24"/>
        </w:rPr>
        <w:t xml:space="preserve">Ukoliko je nadoknadivi iznos nekog sredstva procenjen kao niži od vrijednosti po kojoj je to sredstvo prikazano, postojeća vrijednost tog sredstva se umanjuje do visine nadoknadive vrijednosti, koju predstavlja vrijednost veća od neto prodajne vrijednosti i vrijednosti u upotrebi. Gubitak zbog obezvrijeđenja se priznaje u iznosu razlike, na teret rashoda. </w:t>
      </w:r>
      <w:r w:rsidRPr="008775D5">
        <w:rPr>
          <w:rFonts w:ascii="Cambria" w:hAnsi="Cambria" w:cs="Times New Roman"/>
          <w:sz w:val="24"/>
          <w:szCs w:val="24"/>
          <w:lang w:val="de-DE"/>
        </w:rPr>
        <w:t xml:space="preserve">Dobici od prodaje opreme se knjiže direktno u korist ostalih prihoda. Gubici po osnovu prodaje ili rashodovanja opreme terete ostale rashode. </w:t>
      </w:r>
    </w:p>
    <w:p w14:paraId="27CA768B" w14:textId="6A354E4B" w:rsidR="005A38C8" w:rsidRPr="008775D5" w:rsidRDefault="003E21EF" w:rsidP="00235D4F">
      <w:pPr>
        <w:spacing w:line="240" w:lineRule="auto"/>
        <w:jc w:val="both"/>
        <w:rPr>
          <w:rFonts w:ascii="Cambria" w:hAnsi="Cambria" w:cs="Times New Roman"/>
          <w:sz w:val="24"/>
          <w:szCs w:val="24"/>
          <w:lang w:val="de-DE"/>
        </w:rPr>
      </w:pPr>
      <w:r w:rsidRPr="008775D5">
        <w:rPr>
          <w:rFonts w:ascii="Cambria" w:hAnsi="Cambria" w:cs="Times New Roman"/>
          <w:sz w:val="24"/>
          <w:szCs w:val="24"/>
          <w:lang w:val="de-DE"/>
        </w:rPr>
        <w:t xml:space="preserve">Amortizacija opreme obračunava se po linearnom metodu primjenom amortizacionih stopa koje su određene tako da se nabavna vrijednost opreme amortizuje u jednakim godišnjim iznosima u toku vijeka </w:t>
      </w:r>
      <w:r w:rsidR="00CF4E1D" w:rsidRPr="008775D5">
        <w:rPr>
          <w:rFonts w:ascii="Cambria" w:hAnsi="Cambria" w:cs="Times New Roman"/>
          <w:sz w:val="24"/>
          <w:szCs w:val="24"/>
          <w:lang w:val="de-DE"/>
        </w:rPr>
        <w:t>trajanja, s ciljem da se sredstva u potpunosti otpišu u toku njihovog korisnog vijeka trajanja.</w:t>
      </w:r>
    </w:p>
    <w:p w14:paraId="0BB16411" w14:textId="1A098870" w:rsidR="009B0ADF" w:rsidRPr="008775D5" w:rsidRDefault="003E21EF" w:rsidP="00235D4F">
      <w:pPr>
        <w:spacing w:line="240" w:lineRule="auto"/>
        <w:jc w:val="both"/>
        <w:rPr>
          <w:rFonts w:ascii="Cambria" w:hAnsi="Cambria" w:cs="Times New Roman"/>
          <w:sz w:val="24"/>
          <w:szCs w:val="24"/>
          <w:lang w:val="de-DE"/>
        </w:rPr>
      </w:pPr>
      <w:r w:rsidRPr="008775D5">
        <w:rPr>
          <w:rFonts w:ascii="Cambria" w:hAnsi="Cambria" w:cs="Times New Roman"/>
          <w:sz w:val="24"/>
          <w:szCs w:val="24"/>
          <w:lang w:val="de-DE"/>
        </w:rPr>
        <w:t xml:space="preserve"> Amortizacija sredstava aktiviranih u toku godine se obračunava kada se sredstva stave u upotrebu, odnosno počev od narednog meseca od datuma nabavke na nabavnu vrijednost. </w:t>
      </w:r>
    </w:p>
    <w:p w14:paraId="2C1650C6" w14:textId="5A85E730" w:rsidR="002A794E" w:rsidRPr="008775D5" w:rsidRDefault="002A794E" w:rsidP="00235D4F">
      <w:pPr>
        <w:spacing w:line="240" w:lineRule="auto"/>
        <w:jc w:val="both"/>
        <w:rPr>
          <w:rFonts w:ascii="Cambria" w:hAnsi="Cambria" w:cs="Times New Roman"/>
          <w:b/>
          <w:sz w:val="24"/>
          <w:szCs w:val="24"/>
        </w:rPr>
      </w:pPr>
      <w:r w:rsidRPr="008775D5">
        <w:rPr>
          <w:rFonts w:ascii="Cambria" w:hAnsi="Cambria" w:cs="Times New Roman"/>
          <w:b/>
          <w:sz w:val="24"/>
          <w:szCs w:val="24"/>
        </w:rPr>
        <w:t>3.</w:t>
      </w:r>
      <w:r w:rsidR="00CF4E1D" w:rsidRPr="008775D5">
        <w:rPr>
          <w:rFonts w:ascii="Cambria" w:hAnsi="Cambria" w:cs="Times New Roman"/>
          <w:b/>
          <w:sz w:val="24"/>
          <w:szCs w:val="24"/>
        </w:rPr>
        <w:t>4</w:t>
      </w:r>
      <w:r w:rsidRPr="008775D5">
        <w:rPr>
          <w:rFonts w:ascii="Cambria" w:hAnsi="Cambria" w:cs="Times New Roman"/>
          <w:b/>
          <w:sz w:val="24"/>
          <w:szCs w:val="24"/>
        </w:rPr>
        <w:t xml:space="preserve">.Kapital </w:t>
      </w:r>
    </w:p>
    <w:p w14:paraId="6F25783F" w14:textId="77777777" w:rsidR="002A794E" w:rsidRPr="008775D5" w:rsidRDefault="002A794E" w:rsidP="00235D4F">
      <w:pPr>
        <w:spacing w:line="240" w:lineRule="auto"/>
        <w:jc w:val="both"/>
        <w:rPr>
          <w:rFonts w:ascii="Cambria" w:hAnsi="Cambria" w:cs="Times New Roman"/>
          <w:sz w:val="24"/>
          <w:szCs w:val="24"/>
        </w:rPr>
      </w:pPr>
      <w:r w:rsidRPr="008775D5">
        <w:rPr>
          <w:rFonts w:ascii="Cambria" w:hAnsi="Cambria" w:cs="Times New Roman"/>
          <w:sz w:val="24"/>
          <w:szCs w:val="24"/>
        </w:rPr>
        <w:t xml:space="preserve">Kapital Društva obuhvata osnovni kapital po osnovu udjela osnivača, rezerve, revalorizacione rezerve i akumulirani rezultat. Kapital Društva obrazovan je iz uloženih sredstava osnivača Društva. Osnivač ne može povlačiti sredstva uložena u osnovni kapital Društva. </w:t>
      </w:r>
    </w:p>
    <w:p w14:paraId="0B82EB32" w14:textId="35805301" w:rsidR="002A794E" w:rsidRPr="008775D5" w:rsidRDefault="002A794E" w:rsidP="00235D4F">
      <w:pPr>
        <w:spacing w:line="240" w:lineRule="auto"/>
        <w:jc w:val="both"/>
        <w:rPr>
          <w:rFonts w:ascii="Cambria" w:hAnsi="Cambria" w:cs="Times New Roman"/>
          <w:b/>
          <w:sz w:val="24"/>
          <w:szCs w:val="24"/>
        </w:rPr>
      </w:pPr>
      <w:r w:rsidRPr="008775D5">
        <w:rPr>
          <w:rFonts w:ascii="Cambria" w:hAnsi="Cambria" w:cs="Times New Roman"/>
          <w:b/>
          <w:sz w:val="24"/>
          <w:szCs w:val="24"/>
        </w:rPr>
        <w:t>3.</w:t>
      </w:r>
      <w:r w:rsidR="00CF4E1D" w:rsidRPr="008775D5">
        <w:rPr>
          <w:rFonts w:ascii="Cambria" w:hAnsi="Cambria" w:cs="Times New Roman"/>
          <w:b/>
          <w:sz w:val="24"/>
          <w:szCs w:val="24"/>
        </w:rPr>
        <w:t>5</w:t>
      </w:r>
      <w:r w:rsidRPr="008775D5">
        <w:rPr>
          <w:rFonts w:ascii="Cambria" w:hAnsi="Cambria" w:cs="Times New Roman"/>
          <w:b/>
          <w:sz w:val="24"/>
          <w:szCs w:val="24"/>
        </w:rPr>
        <w:t xml:space="preserve">. Penzijske i ostale naknade zaposlenima </w:t>
      </w:r>
    </w:p>
    <w:p w14:paraId="539F5A3E" w14:textId="77777777" w:rsidR="00624000" w:rsidRPr="008775D5" w:rsidRDefault="002A794E" w:rsidP="00235D4F">
      <w:pPr>
        <w:spacing w:line="240" w:lineRule="auto"/>
        <w:jc w:val="both"/>
        <w:rPr>
          <w:rFonts w:ascii="Cambria" w:hAnsi="Cambria" w:cs="Times New Roman"/>
          <w:sz w:val="24"/>
          <w:szCs w:val="24"/>
        </w:rPr>
      </w:pPr>
      <w:r w:rsidRPr="008775D5">
        <w:rPr>
          <w:rFonts w:ascii="Cambria" w:hAnsi="Cambria" w:cs="Times New Roman"/>
          <w:sz w:val="24"/>
          <w:szCs w:val="24"/>
        </w:rPr>
        <w:t xml:space="preserve">Kratkoročne naknade zaposlenima Društvo plaća doprinose iz ličnih primanja utvrđene zakonom tokom godine, na bazi bruto zarada zaposlenih. Troškovi doprinosa priznaju se u </w:t>
      </w:r>
      <w:r w:rsidRPr="008775D5">
        <w:rPr>
          <w:rFonts w:ascii="Cambria" w:hAnsi="Cambria" w:cs="Times New Roman"/>
          <w:sz w:val="24"/>
          <w:szCs w:val="24"/>
        </w:rPr>
        <w:lastRenderedPageBreak/>
        <w:t>bilansu uspjeha u istom periodu kao i troškovi zarada na koje se odnose. Društvo nema dodatnih obaveza za naknade zaposlenima po ovom osnovu. U skladu sa Zakonom o radu Društvo može zaposlenima, pri otkazu ugovora o radu ili penzionisanju isplatiti otpremninu u visini prosjeka do tri mjesečne plate ostvarene od strane zaposlenog.</w:t>
      </w:r>
    </w:p>
    <w:p w14:paraId="38859CA1" w14:textId="3554D2F0" w:rsidR="00235D4F" w:rsidRPr="008775D5" w:rsidRDefault="002A794E" w:rsidP="00235D4F">
      <w:pPr>
        <w:spacing w:line="240" w:lineRule="auto"/>
        <w:jc w:val="both"/>
        <w:rPr>
          <w:rFonts w:ascii="Cambria" w:hAnsi="Cambria" w:cs="Times New Roman"/>
          <w:sz w:val="24"/>
          <w:szCs w:val="24"/>
        </w:rPr>
      </w:pPr>
      <w:r w:rsidRPr="008775D5">
        <w:rPr>
          <w:rFonts w:ascii="Cambria" w:hAnsi="Cambria" w:cs="Times New Roman"/>
          <w:sz w:val="24"/>
          <w:szCs w:val="24"/>
        </w:rPr>
        <w:t xml:space="preserve">Prema MRS 19 „Naknade zaposlenima“, zahtjeva se obračun i ukalkulisavanje sadašnje vrijednosti akumuliranih prava zaposlenih na otpremnine i jubilarne nagrade. Društvo ne vrši ovaj obračun. </w:t>
      </w:r>
    </w:p>
    <w:p w14:paraId="78D6A08E" w14:textId="08FB25E3" w:rsidR="002A794E" w:rsidRPr="008775D5" w:rsidRDefault="002A794E" w:rsidP="00235D4F">
      <w:pPr>
        <w:spacing w:line="240" w:lineRule="auto"/>
        <w:jc w:val="both"/>
        <w:rPr>
          <w:rFonts w:ascii="Cambria" w:hAnsi="Cambria" w:cs="Times New Roman"/>
          <w:b/>
          <w:sz w:val="24"/>
          <w:szCs w:val="24"/>
        </w:rPr>
      </w:pPr>
      <w:r w:rsidRPr="008775D5">
        <w:rPr>
          <w:rFonts w:ascii="Cambria" w:hAnsi="Cambria" w:cs="Times New Roman"/>
          <w:b/>
          <w:sz w:val="24"/>
          <w:szCs w:val="24"/>
        </w:rPr>
        <w:t>3.</w:t>
      </w:r>
      <w:r w:rsidR="00CF4E1D" w:rsidRPr="008775D5">
        <w:rPr>
          <w:rFonts w:ascii="Cambria" w:hAnsi="Cambria" w:cs="Times New Roman"/>
          <w:b/>
          <w:sz w:val="24"/>
          <w:szCs w:val="24"/>
        </w:rPr>
        <w:t>6</w:t>
      </w:r>
      <w:r w:rsidRPr="008775D5">
        <w:rPr>
          <w:rFonts w:ascii="Cambria" w:hAnsi="Cambria" w:cs="Times New Roman"/>
          <w:b/>
          <w:sz w:val="24"/>
          <w:szCs w:val="24"/>
        </w:rPr>
        <w:t xml:space="preserve">. Porezi i doprinosi </w:t>
      </w:r>
    </w:p>
    <w:p w14:paraId="2E3E88C5" w14:textId="77777777" w:rsidR="00624000" w:rsidRPr="008775D5" w:rsidRDefault="002A794E" w:rsidP="00235D4F">
      <w:pPr>
        <w:spacing w:line="240" w:lineRule="auto"/>
        <w:jc w:val="both"/>
        <w:rPr>
          <w:rFonts w:ascii="Cambria" w:hAnsi="Cambria" w:cs="Times New Roman"/>
          <w:sz w:val="24"/>
          <w:szCs w:val="24"/>
        </w:rPr>
      </w:pPr>
      <w:r w:rsidRPr="008775D5">
        <w:rPr>
          <w:rFonts w:ascii="Cambria" w:hAnsi="Cambria" w:cs="Times New Roman"/>
          <w:sz w:val="24"/>
          <w:szCs w:val="24"/>
        </w:rPr>
        <w:t>Tekući porez na dobitak Tekući porez na dobitak predstavlja iznos koji se obračunava i plaća u skladu sa Zakonom o p</w:t>
      </w:r>
      <w:r w:rsidR="00140C49" w:rsidRPr="008775D5">
        <w:rPr>
          <w:rFonts w:ascii="Cambria" w:hAnsi="Cambria" w:cs="Times New Roman"/>
          <w:sz w:val="24"/>
          <w:szCs w:val="24"/>
        </w:rPr>
        <w:t>orezu na dobit</w:t>
      </w:r>
      <w:r w:rsidRPr="008775D5">
        <w:rPr>
          <w:rFonts w:ascii="Cambria" w:hAnsi="Cambria" w:cs="Times New Roman"/>
          <w:sz w:val="24"/>
          <w:szCs w:val="24"/>
        </w:rPr>
        <w:t xml:space="preserve">. Tekući porez na dobitak predstavlja iznos koji se obračunava primjenom propisane poreske stope od 10% na osnovicu utvrđenu prijavom poreza na dobit koju predstavlja iznos dobitka prije oporezivanja po odbitku efekata usklađivanja prihoda i rashoda. </w:t>
      </w:r>
    </w:p>
    <w:p w14:paraId="5CDA6025" w14:textId="2355D0F8" w:rsidR="002A794E" w:rsidRPr="008775D5" w:rsidRDefault="002A794E" w:rsidP="00235D4F">
      <w:pPr>
        <w:spacing w:line="240" w:lineRule="auto"/>
        <w:jc w:val="both"/>
        <w:rPr>
          <w:rFonts w:ascii="Cambria" w:hAnsi="Cambria" w:cs="Times New Roman"/>
          <w:sz w:val="24"/>
          <w:szCs w:val="24"/>
        </w:rPr>
      </w:pPr>
      <w:r w:rsidRPr="008775D5">
        <w:rPr>
          <w:rFonts w:ascii="Cambria" w:hAnsi="Cambria" w:cs="Times New Roman"/>
          <w:sz w:val="24"/>
          <w:szCs w:val="24"/>
        </w:rPr>
        <w:t>Poreski propisi Republike Srpske ne predviđaju mogućnost da se poreski gubici iz tekućeg perioda mogu koristiti kao osnova za povraćaj poreza plaćenog u prethodnim periodima.</w:t>
      </w:r>
      <w:r w:rsidR="009B0ADF" w:rsidRPr="008775D5">
        <w:rPr>
          <w:rFonts w:ascii="Cambria" w:hAnsi="Cambria" w:cs="Times New Roman"/>
          <w:sz w:val="24"/>
          <w:szCs w:val="24"/>
        </w:rPr>
        <w:t xml:space="preserve"> </w:t>
      </w:r>
      <w:r w:rsidRPr="008775D5">
        <w:rPr>
          <w:rFonts w:ascii="Cambria" w:hAnsi="Cambria" w:cs="Times New Roman"/>
          <w:sz w:val="24"/>
          <w:szCs w:val="24"/>
        </w:rPr>
        <w:t xml:space="preserve">Međutim, gubici iz tekućeg perioda iskazani u poreskom bilansu mogu se koristiti za umanjenje poreske osnovice budućih obračunskih perioda, ali ne duže od pet godina. </w:t>
      </w:r>
    </w:p>
    <w:p w14:paraId="40A74F52" w14:textId="77777777" w:rsidR="002A794E" w:rsidRPr="008775D5" w:rsidRDefault="002A794E" w:rsidP="00235D4F">
      <w:pPr>
        <w:spacing w:line="240" w:lineRule="auto"/>
        <w:jc w:val="both"/>
        <w:rPr>
          <w:rFonts w:ascii="Cambria" w:hAnsi="Cambria" w:cs="Times New Roman"/>
          <w:bCs/>
          <w:i/>
          <w:sz w:val="24"/>
          <w:szCs w:val="24"/>
        </w:rPr>
      </w:pPr>
      <w:r w:rsidRPr="008775D5">
        <w:rPr>
          <w:rFonts w:ascii="Cambria" w:hAnsi="Cambria" w:cs="Times New Roman"/>
          <w:bCs/>
          <w:i/>
          <w:sz w:val="24"/>
          <w:szCs w:val="24"/>
        </w:rPr>
        <w:t xml:space="preserve">Odloženi porez na dobitak </w:t>
      </w:r>
    </w:p>
    <w:p w14:paraId="6D9ADB7F" w14:textId="77777777" w:rsidR="002A794E" w:rsidRPr="008775D5" w:rsidRDefault="002A794E" w:rsidP="00235D4F">
      <w:pPr>
        <w:spacing w:line="240" w:lineRule="auto"/>
        <w:jc w:val="both"/>
        <w:rPr>
          <w:rFonts w:ascii="Cambria" w:hAnsi="Cambria" w:cs="Times New Roman"/>
          <w:sz w:val="24"/>
          <w:szCs w:val="24"/>
        </w:rPr>
      </w:pPr>
      <w:r w:rsidRPr="008775D5">
        <w:rPr>
          <w:rFonts w:ascii="Cambria" w:hAnsi="Cambria" w:cs="Times New Roman"/>
          <w:sz w:val="24"/>
          <w:szCs w:val="24"/>
        </w:rPr>
        <w:t xml:space="preserve">Odloženi porez na dobitak se obračunava korišćenjem metode utvrđivanja obaveza prema finansijskim izvještajima, za privremene razlike proizašle iz razlike između poreske osnove imovine i obaveza u izvještaju o finansijskom položaju i njihove knjigovodstvene vrijednosti. Važeće poreske stope na dan izvještaja o finansijskom položaju ili poreske stope koje su nakon tog dana stupile na snagu, koriste se za utvrđivanje razgraničenog iznosa poreza na dobitak. Odložene poreske obaveze se priznaju za sve oporezive privremene razlike. Odložena poreska sredstva se priznaju za sve odbitne privremene razlike i efekte poreskih gubitaka i poreskih kredita, koji se mogu prenositi u naredne fiskalne periode, do stepena do kojeg će vjerovatno postojati oporezivi dobitak od kojeg se prenijeti poreski gubitak i krediti mogu umanjiti. </w:t>
      </w:r>
    </w:p>
    <w:p w14:paraId="68E387C0" w14:textId="77777777" w:rsidR="002A794E" w:rsidRPr="008775D5" w:rsidRDefault="002A794E" w:rsidP="00235D4F">
      <w:pPr>
        <w:spacing w:line="240" w:lineRule="auto"/>
        <w:jc w:val="both"/>
        <w:rPr>
          <w:rFonts w:ascii="Cambria" w:hAnsi="Cambria" w:cs="Times New Roman"/>
          <w:bCs/>
          <w:i/>
          <w:sz w:val="24"/>
          <w:szCs w:val="24"/>
        </w:rPr>
      </w:pPr>
      <w:r w:rsidRPr="008775D5">
        <w:rPr>
          <w:rFonts w:ascii="Cambria" w:hAnsi="Cambria" w:cs="Times New Roman"/>
          <w:bCs/>
          <w:i/>
          <w:sz w:val="24"/>
          <w:szCs w:val="24"/>
        </w:rPr>
        <w:t xml:space="preserve">Porezi i doprinosi koji ne zavise od rezultata </w:t>
      </w:r>
    </w:p>
    <w:p w14:paraId="7BDBD140" w14:textId="77777777" w:rsidR="002A794E" w:rsidRPr="008775D5" w:rsidRDefault="002A794E" w:rsidP="00235D4F">
      <w:pPr>
        <w:spacing w:line="240" w:lineRule="auto"/>
        <w:jc w:val="both"/>
        <w:rPr>
          <w:rFonts w:ascii="Cambria" w:hAnsi="Cambria" w:cs="Times New Roman"/>
          <w:sz w:val="24"/>
          <w:szCs w:val="24"/>
        </w:rPr>
      </w:pPr>
      <w:r w:rsidRPr="008775D5">
        <w:rPr>
          <w:rFonts w:ascii="Cambria" w:hAnsi="Cambria" w:cs="Times New Roman"/>
          <w:sz w:val="24"/>
          <w:szCs w:val="24"/>
        </w:rPr>
        <w:t xml:space="preserve">Porezi i doprinosi koji ne zavise od rezultata predstavljaju plaćanja prema važećim republičkim i opštinskim propisima radi finansiranja raznih komunalnih i republičkih potreba. Ovi porezi i doprinosi uključeni su u okviru poslovnih rashoda. Porez na dodatu vrijednost Zakonom o porezu na dodatu vrijednost uvedena je obaveza i regulisan je sistem plaćanja poreza na dodatu vrijednost (PDV) na teritoriji Bosne i Hercegovine, počevši od 1. januara 2006. godine, čime je zamijenjen sistem oporezivanja primjenom poreza na promet proizvoda i usluga. Društvo ne ostvaruje prihode oporezive porezom na dodatu vrijednost, te nije registrovano kao obveznik indirektnih poreza. </w:t>
      </w:r>
    </w:p>
    <w:p w14:paraId="3AF771CC" w14:textId="7A7BB240" w:rsidR="002A794E" w:rsidRPr="008775D5" w:rsidRDefault="002A794E" w:rsidP="00235D4F">
      <w:pPr>
        <w:spacing w:line="240" w:lineRule="auto"/>
        <w:jc w:val="both"/>
        <w:rPr>
          <w:rFonts w:ascii="Cambria" w:hAnsi="Cambria" w:cs="Times New Roman"/>
          <w:b/>
          <w:sz w:val="24"/>
          <w:szCs w:val="24"/>
        </w:rPr>
      </w:pPr>
      <w:r w:rsidRPr="008775D5">
        <w:rPr>
          <w:rFonts w:ascii="Cambria" w:hAnsi="Cambria" w:cs="Times New Roman"/>
          <w:b/>
          <w:sz w:val="24"/>
          <w:szCs w:val="24"/>
        </w:rPr>
        <w:t>3.</w:t>
      </w:r>
      <w:r w:rsidR="00CF4E1D" w:rsidRPr="008775D5">
        <w:rPr>
          <w:rFonts w:ascii="Cambria" w:hAnsi="Cambria" w:cs="Times New Roman"/>
          <w:b/>
          <w:sz w:val="24"/>
          <w:szCs w:val="24"/>
        </w:rPr>
        <w:t>7</w:t>
      </w:r>
      <w:r w:rsidRPr="008775D5">
        <w:rPr>
          <w:rFonts w:ascii="Cambria" w:hAnsi="Cambria" w:cs="Times New Roman"/>
          <w:b/>
          <w:sz w:val="24"/>
          <w:szCs w:val="24"/>
        </w:rPr>
        <w:t xml:space="preserve">. Prihodi </w:t>
      </w:r>
    </w:p>
    <w:p w14:paraId="338384D2" w14:textId="77777777" w:rsidR="00624000" w:rsidRPr="008775D5" w:rsidRDefault="002A794E" w:rsidP="00235D4F">
      <w:pPr>
        <w:spacing w:line="240" w:lineRule="auto"/>
        <w:jc w:val="both"/>
        <w:rPr>
          <w:rFonts w:ascii="Cambria" w:hAnsi="Cambria" w:cs="Times New Roman"/>
          <w:sz w:val="24"/>
          <w:szCs w:val="24"/>
        </w:rPr>
      </w:pPr>
      <w:r w:rsidRPr="008775D5">
        <w:rPr>
          <w:rFonts w:ascii="Cambria" w:hAnsi="Cambria" w:cs="Times New Roman"/>
          <w:sz w:val="24"/>
          <w:szCs w:val="24"/>
        </w:rPr>
        <w:t>Prihodi od prodaje učinaka Društva obuhvataju naknade po os</w:t>
      </w:r>
      <w:r w:rsidR="007349CA" w:rsidRPr="008775D5">
        <w:rPr>
          <w:rFonts w:ascii="Cambria" w:hAnsi="Cambria" w:cs="Times New Roman"/>
          <w:sz w:val="24"/>
          <w:szCs w:val="24"/>
        </w:rPr>
        <w:t>novu provizije za upravljanje o</w:t>
      </w:r>
      <w:r w:rsidRPr="008775D5">
        <w:rPr>
          <w:rFonts w:ascii="Cambria" w:hAnsi="Cambria" w:cs="Times New Roman"/>
          <w:sz w:val="24"/>
          <w:szCs w:val="24"/>
        </w:rPr>
        <w:t xml:space="preserve">tvorenim investicionim fondovima. Provizija za upravljanje obračunava se na osnovu </w:t>
      </w:r>
      <w:r w:rsidRPr="008775D5">
        <w:rPr>
          <w:rFonts w:ascii="Cambria" w:hAnsi="Cambria" w:cs="Times New Roman"/>
          <w:sz w:val="24"/>
          <w:szCs w:val="24"/>
        </w:rPr>
        <w:lastRenderedPageBreak/>
        <w:t xml:space="preserve">Zakona o investicionim fondovima i Pravilnika o utvrdivanju vrijednosti imovine investicionog fonda i obračunu neto vrijednosti imovine po udjelu ili po akciji investicionog fonda, odnosno u skladu sa prospektom i statutom fonda i ugovorima o upravljanju fondom između Društva i </w:t>
      </w:r>
      <w:r w:rsidR="007349CA" w:rsidRPr="008775D5">
        <w:rPr>
          <w:rFonts w:ascii="Cambria" w:hAnsi="Cambria" w:cs="Times New Roman"/>
          <w:sz w:val="24"/>
          <w:szCs w:val="24"/>
        </w:rPr>
        <w:t xml:space="preserve">fondova. </w:t>
      </w:r>
    </w:p>
    <w:p w14:paraId="41D5682A" w14:textId="159289D1" w:rsidR="002A794E" w:rsidRPr="008775D5" w:rsidRDefault="007349CA" w:rsidP="00235D4F">
      <w:pPr>
        <w:spacing w:line="240" w:lineRule="auto"/>
        <w:jc w:val="both"/>
        <w:rPr>
          <w:rFonts w:ascii="Cambria" w:hAnsi="Cambria" w:cs="Times New Roman"/>
          <w:sz w:val="24"/>
          <w:szCs w:val="24"/>
        </w:rPr>
      </w:pPr>
      <w:r w:rsidRPr="008775D5">
        <w:rPr>
          <w:rFonts w:ascii="Cambria" w:hAnsi="Cambria" w:cs="Times New Roman"/>
          <w:sz w:val="24"/>
          <w:szCs w:val="24"/>
        </w:rPr>
        <w:t xml:space="preserve">Društvo upravlja sa </w:t>
      </w:r>
      <w:r w:rsidR="00CF4E1D" w:rsidRPr="008775D5">
        <w:rPr>
          <w:rFonts w:ascii="Cambria" w:hAnsi="Cambria" w:cs="Times New Roman"/>
          <w:sz w:val="24"/>
          <w:szCs w:val="24"/>
        </w:rPr>
        <w:t>dva</w:t>
      </w:r>
      <w:r w:rsidRPr="008775D5">
        <w:rPr>
          <w:rFonts w:ascii="Cambria" w:hAnsi="Cambria" w:cs="Times New Roman"/>
          <w:sz w:val="24"/>
          <w:szCs w:val="24"/>
        </w:rPr>
        <w:t xml:space="preserve"> otvorena investiciona fonda – OAIF Adriatic Balanced </w:t>
      </w:r>
      <w:r w:rsidR="002A794E" w:rsidRPr="008775D5">
        <w:rPr>
          <w:rFonts w:ascii="Cambria" w:hAnsi="Cambria" w:cs="Times New Roman"/>
          <w:sz w:val="24"/>
          <w:szCs w:val="24"/>
        </w:rPr>
        <w:t xml:space="preserve"> </w:t>
      </w:r>
      <w:r w:rsidRPr="008775D5">
        <w:rPr>
          <w:rFonts w:ascii="Cambria" w:hAnsi="Cambria" w:cs="Times New Roman"/>
          <w:sz w:val="24"/>
          <w:szCs w:val="24"/>
        </w:rPr>
        <w:t>(u daljem tekstu: Adriatic Balanced)</w:t>
      </w:r>
      <w:r w:rsidR="00BD0889">
        <w:rPr>
          <w:rFonts w:ascii="Cambria" w:hAnsi="Cambria" w:cs="Times New Roman"/>
          <w:sz w:val="24"/>
          <w:szCs w:val="24"/>
        </w:rPr>
        <w:t xml:space="preserve"> i </w:t>
      </w:r>
      <w:r w:rsidRPr="008775D5">
        <w:rPr>
          <w:rFonts w:ascii="Cambria" w:hAnsi="Cambria" w:cs="Times New Roman"/>
          <w:sz w:val="24"/>
          <w:szCs w:val="24"/>
        </w:rPr>
        <w:t>OAIF</w:t>
      </w:r>
      <w:r w:rsidR="009B0ADF" w:rsidRPr="008775D5">
        <w:rPr>
          <w:rFonts w:ascii="Cambria" w:hAnsi="Cambria" w:cs="Times New Roman"/>
          <w:sz w:val="24"/>
          <w:szCs w:val="24"/>
        </w:rPr>
        <w:t xml:space="preserve"> </w:t>
      </w:r>
      <w:r w:rsidR="002A794E" w:rsidRPr="008775D5">
        <w:rPr>
          <w:rFonts w:ascii="Cambria" w:hAnsi="Cambria" w:cs="Times New Roman"/>
          <w:sz w:val="24"/>
          <w:szCs w:val="24"/>
        </w:rPr>
        <w:t>Jahorina Koin</w:t>
      </w:r>
      <w:r w:rsidR="00BD0889">
        <w:rPr>
          <w:rFonts w:ascii="Cambria" w:hAnsi="Cambria" w:cs="Times New Roman"/>
          <w:sz w:val="24"/>
          <w:szCs w:val="24"/>
        </w:rPr>
        <w:t xml:space="preserve"> </w:t>
      </w:r>
      <w:r w:rsidR="002A794E" w:rsidRPr="008775D5">
        <w:rPr>
          <w:rFonts w:ascii="Cambria" w:hAnsi="Cambria" w:cs="Times New Roman"/>
          <w:sz w:val="24"/>
          <w:szCs w:val="24"/>
        </w:rPr>
        <w:t xml:space="preserve">(u </w:t>
      </w:r>
      <w:r w:rsidR="003D7B43" w:rsidRPr="008775D5">
        <w:rPr>
          <w:rFonts w:ascii="Cambria" w:hAnsi="Cambria" w:cs="Times New Roman"/>
          <w:sz w:val="24"/>
          <w:szCs w:val="24"/>
        </w:rPr>
        <w:t xml:space="preserve">daljem tekstu: Jahorina </w:t>
      </w:r>
      <w:r w:rsidR="00B906C1" w:rsidRPr="008775D5">
        <w:rPr>
          <w:rFonts w:ascii="Cambria" w:hAnsi="Cambria" w:cs="Times New Roman"/>
          <w:sz w:val="24"/>
          <w:szCs w:val="24"/>
        </w:rPr>
        <w:t>Koin</w:t>
      </w:r>
      <w:r w:rsidR="003D7B43" w:rsidRPr="008775D5">
        <w:rPr>
          <w:rFonts w:ascii="Cambria" w:hAnsi="Cambria" w:cs="Times New Roman"/>
          <w:sz w:val="24"/>
          <w:szCs w:val="24"/>
        </w:rPr>
        <w:t xml:space="preserve">), </w:t>
      </w:r>
    </w:p>
    <w:p w14:paraId="3309F0EB" w14:textId="3434E0DF" w:rsidR="005F2894" w:rsidRPr="008775D5" w:rsidRDefault="005F0A2A" w:rsidP="00235D4F">
      <w:pPr>
        <w:spacing w:line="240" w:lineRule="auto"/>
        <w:jc w:val="both"/>
        <w:rPr>
          <w:rFonts w:ascii="Cambria" w:hAnsi="Cambria" w:cs="Times New Roman"/>
          <w:b/>
          <w:sz w:val="24"/>
          <w:szCs w:val="24"/>
        </w:rPr>
      </w:pPr>
      <w:r w:rsidRPr="008775D5">
        <w:rPr>
          <w:rFonts w:ascii="Cambria" w:hAnsi="Cambria" w:cs="Times New Roman"/>
          <w:sz w:val="24"/>
          <w:szCs w:val="24"/>
        </w:rPr>
        <w:t>Naknade društvu za upravljanje (3,5% godišnje) obračunava se dnevno na osnovu neto vrijednosti Fonda.</w:t>
      </w:r>
      <w:r w:rsidR="002A794E" w:rsidRPr="008775D5">
        <w:rPr>
          <w:rFonts w:ascii="Cambria" w:hAnsi="Cambria" w:cs="Times New Roman"/>
          <w:sz w:val="24"/>
          <w:szCs w:val="24"/>
        </w:rPr>
        <w:t xml:space="preserve"> Prihod se priznaje u momentu nastanka, bez obzira na vrijeme plaćanja. Evidencija prihoda se usaglašava sa </w:t>
      </w:r>
      <w:r w:rsidR="00B906C1" w:rsidRPr="008775D5">
        <w:rPr>
          <w:rFonts w:ascii="Cambria" w:hAnsi="Cambria" w:cs="Times New Roman"/>
          <w:sz w:val="24"/>
          <w:szCs w:val="24"/>
        </w:rPr>
        <w:t xml:space="preserve">potvđivanjem </w:t>
      </w:r>
      <w:r w:rsidR="002A794E" w:rsidRPr="008775D5">
        <w:rPr>
          <w:rFonts w:ascii="Cambria" w:hAnsi="Cambria" w:cs="Times New Roman"/>
          <w:sz w:val="24"/>
          <w:szCs w:val="24"/>
        </w:rPr>
        <w:t>banke depozitara. Prihodi i rashodi, ostali prihodi i ostali rashodi poslovanja se knjiže po načelu uzročnosti prihoda i rashoda. Prihodi i rashodi od kamata se priznaju na obračunskoj osnovi u vremenu na koje se odnose i prikazani su u neto iznosu u okviru dobitka, odnosno gubitka od finansiranja.</w:t>
      </w:r>
    </w:p>
    <w:p w14:paraId="1F6C4329" w14:textId="6E98D358" w:rsidR="005F2894" w:rsidRPr="008775D5" w:rsidRDefault="002A794E" w:rsidP="00235D4F">
      <w:pPr>
        <w:spacing w:line="240" w:lineRule="auto"/>
        <w:jc w:val="both"/>
        <w:rPr>
          <w:rFonts w:ascii="Cambria" w:hAnsi="Cambria" w:cs="Times New Roman"/>
          <w:b/>
          <w:sz w:val="24"/>
          <w:szCs w:val="24"/>
        </w:rPr>
      </w:pPr>
      <w:r w:rsidRPr="008775D5">
        <w:rPr>
          <w:rFonts w:ascii="Cambria" w:hAnsi="Cambria" w:cs="Times New Roman"/>
          <w:b/>
          <w:sz w:val="24"/>
          <w:szCs w:val="24"/>
        </w:rPr>
        <w:t>3.</w:t>
      </w:r>
      <w:r w:rsidR="00E44076" w:rsidRPr="008775D5">
        <w:rPr>
          <w:rFonts w:ascii="Cambria" w:hAnsi="Cambria" w:cs="Times New Roman"/>
          <w:b/>
          <w:sz w:val="24"/>
          <w:szCs w:val="24"/>
        </w:rPr>
        <w:t>8</w:t>
      </w:r>
      <w:r w:rsidRPr="008775D5">
        <w:rPr>
          <w:rFonts w:ascii="Cambria" w:hAnsi="Cambria" w:cs="Times New Roman"/>
          <w:b/>
          <w:sz w:val="24"/>
          <w:szCs w:val="24"/>
        </w:rPr>
        <w:t xml:space="preserve">. Troškovi poslovanja </w:t>
      </w:r>
    </w:p>
    <w:p w14:paraId="2B7DDF76" w14:textId="31BDC24F" w:rsidR="004C668D" w:rsidRPr="008775D5" w:rsidRDefault="002A794E" w:rsidP="00BD0889">
      <w:pPr>
        <w:spacing w:after="360" w:line="240" w:lineRule="auto"/>
        <w:jc w:val="both"/>
        <w:rPr>
          <w:rFonts w:ascii="Cambria" w:hAnsi="Cambria" w:cs="Times New Roman"/>
          <w:sz w:val="24"/>
          <w:szCs w:val="24"/>
        </w:rPr>
      </w:pPr>
      <w:r w:rsidRPr="008775D5">
        <w:rPr>
          <w:rFonts w:ascii="Cambria" w:hAnsi="Cambria" w:cs="Times New Roman"/>
          <w:sz w:val="24"/>
          <w:szCs w:val="24"/>
        </w:rPr>
        <w:t xml:space="preserve">Troškovi poslovanja predstavljaju sve izdatke nastale u odnosu na fakturisane prihode, a obuhvataju troškove materijala, energije, goriva, bruto zarada, kao i opšte troškove poslovanja neophodne za ostvarivanje prihoda. U skladu sa </w:t>
      </w:r>
      <w:r w:rsidR="00E44076" w:rsidRPr="008775D5">
        <w:rPr>
          <w:rFonts w:ascii="Cambria" w:hAnsi="Cambria" w:cs="Times New Roman"/>
          <w:sz w:val="24"/>
          <w:szCs w:val="24"/>
        </w:rPr>
        <w:t>u</w:t>
      </w:r>
      <w:r w:rsidRPr="008775D5">
        <w:rPr>
          <w:rFonts w:ascii="Cambria" w:hAnsi="Cambria" w:cs="Times New Roman"/>
          <w:sz w:val="24"/>
          <w:szCs w:val="24"/>
        </w:rPr>
        <w:t xml:space="preserve">govorom o upravljanju </w:t>
      </w:r>
      <w:r w:rsidR="00E44076" w:rsidRPr="008775D5">
        <w:rPr>
          <w:rFonts w:ascii="Cambria" w:hAnsi="Cambria" w:cs="Times New Roman"/>
          <w:sz w:val="24"/>
          <w:szCs w:val="24"/>
        </w:rPr>
        <w:t>f</w:t>
      </w:r>
      <w:r w:rsidRPr="008775D5">
        <w:rPr>
          <w:rFonts w:ascii="Cambria" w:hAnsi="Cambria" w:cs="Times New Roman"/>
          <w:sz w:val="24"/>
          <w:szCs w:val="24"/>
        </w:rPr>
        <w:t>ondom i Zakonom o investicionim fondovima, Društvo snosi sve trošk</w:t>
      </w:r>
      <w:r w:rsidR="002E025B" w:rsidRPr="008775D5">
        <w:rPr>
          <w:rFonts w:ascii="Cambria" w:hAnsi="Cambria" w:cs="Times New Roman"/>
          <w:sz w:val="24"/>
          <w:szCs w:val="24"/>
        </w:rPr>
        <w:t>ove otvorenih</w:t>
      </w:r>
      <w:r w:rsidR="00E44076" w:rsidRPr="008775D5">
        <w:rPr>
          <w:rFonts w:ascii="Cambria" w:hAnsi="Cambria" w:cs="Times New Roman"/>
          <w:sz w:val="24"/>
          <w:szCs w:val="24"/>
        </w:rPr>
        <w:t xml:space="preserve"> </w:t>
      </w:r>
      <w:r w:rsidR="002E025B" w:rsidRPr="008775D5">
        <w:rPr>
          <w:rFonts w:ascii="Cambria" w:hAnsi="Cambria" w:cs="Times New Roman"/>
          <w:sz w:val="24"/>
          <w:szCs w:val="24"/>
        </w:rPr>
        <w:t>investicionih fondova kojim upravlja.</w:t>
      </w:r>
    </w:p>
    <w:p w14:paraId="56695F6E" w14:textId="59FAEAFD" w:rsidR="005F2894" w:rsidRPr="008775D5" w:rsidRDefault="005F2894" w:rsidP="00235D4F">
      <w:pPr>
        <w:spacing w:line="240" w:lineRule="auto"/>
        <w:jc w:val="both"/>
        <w:rPr>
          <w:rFonts w:ascii="Cambria" w:hAnsi="Cambria" w:cs="Times New Roman"/>
          <w:b/>
          <w:sz w:val="24"/>
          <w:szCs w:val="24"/>
        </w:rPr>
      </w:pPr>
      <w:r w:rsidRPr="008775D5">
        <w:rPr>
          <w:rFonts w:ascii="Cambria" w:hAnsi="Cambria" w:cs="Times New Roman"/>
          <w:b/>
          <w:sz w:val="24"/>
          <w:szCs w:val="24"/>
        </w:rPr>
        <w:t xml:space="preserve">4. </w:t>
      </w:r>
      <w:r w:rsidR="00452826" w:rsidRPr="008775D5">
        <w:rPr>
          <w:rFonts w:ascii="Cambria" w:hAnsi="Cambria" w:cs="Times New Roman"/>
          <w:b/>
          <w:sz w:val="24"/>
          <w:szCs w:val="24"/>
        </w:rPr>
        <w:t>Prihodi</w:t>
      </w:r>
    </w:p>
    <w:p w14:paraId="237ED6EE" w14:textId="2F5832A5" w:rsidR="005F2894" w:rsidRPr="00FA0001" w:rsidRDefault="005F2894" w:rsidP="00235D4F">
      <w:pPr>
        <w:spacing w:line="240" w:lineRule="auto"/>
        <w:jc w:val="both"/>
        <w:rPr>
          <w:rFonts w:ascii="Cambria" w:hAnsi="Cambria" w:cs="Times New Roman"/>
          <w:b/>
          <w:iCs/>
          <w:sz w:val="24"/>
          <w:szCs w:val="24"/>
        </w:rPr>
      </w:pPr>
      <w:r w:rsidRPr="008775D5">
        <w:rPr>
          <w:rFonts w:ascii="Cambria" w:hAnsi="Cambria" w:cs="Times New Roman"/>
          <w:b/>
          <w:i/>
          <w:sz w:val="24"/>
          <w:szCs w:val="24"/>
        </w:rPr>
        <w:t xml:space="preserve"> 4.1. Poslovni prihodi </w:t>
      </w:r>
      <w:r w:rsidR="008F1750">
        <w:rPr>
          <w:rFonts w:ascii="Cambria" w:hAnsi="Cambria" w:cs="Times New Roman"/>
          <w:b/>
          <w:i/>
          <w:sz w:val="24"/>
          <w:szCs w:val="24"/>
        </w:rPr>
        <w:t>-</w:t>
      </w:r>
      <w:r w:rsidR="008F1750" w:rsidRPr="00FA0001">
        <w:rPr>
          <w:rFonts w:ascii="Cambria" w:hAnsi="Cambria" w:cs="Times New Roman"/>
          <w:b/>
          <w:iCs/>
          <w:sz w:val="24"/>
          <w:szCs w:val="24"/>
        </w:rPr>
        <w:t xml:space="preserve">Napomena </w:t>
      </w:r>
      <w:r w:rsidR="00FA0001">
        <w:rPr>
          <w:rFonts w:ascii="Cambria" w:hAnsi="Cambria" w:cs="Times New Roman"/>
          <w:b/>
          <w:iCs/>
          <w:sz w:val="24"/>
          <w:szCs w:val="24"/>
        </w:rPr>
        <w:t>5BU</w:t>
      </w:r>
    </w:p>
    <w:p w14:paraId="0B618450" w14:textId="379ABF44" w:rsidR="00021355" w:rsidRPr="008775D5" w:rsidRDefault="006B7B69" w:rsidP="00F353EF">
      <w:pPr>
        <w:spacing w:line="240" w:lineRule="auto"/>
        <w:jc w:val="both"/>
        <w:rPr>
          <w:rFonts w:ascii="Cambria" w:hAnsi="Cambria" w:cs="Times New Roman"/>
          <w:sz w:val="24"/>
          <w:szCs w:val="24"/>
        </w:rPr>
      </w:pPr>
      <w:r w:rsidRPr="008775D5">
        <w:rPr>
          <w:rFonts w:ascii="Cambria" w:hAnsi="Cambria" w:cs="Times New Roman"/>
          <w:sz w:val="24"/>
          <w:szCs w:val="24"/>
        </w:rPr>
        <w:t>Osnovni poslovni prihod Društva je prihod od provizije za upravljanje Fondom koji je obračunat na osnovu Izvještaja Centralnog registra hartija od vrijednosti Banja Luka kao Depozitara, a na način kako je to navedeno u tački 3.</w:t>
      </w:r>
      <w:r w:rsidR="00E44076" w:rsidRPr="008775D5">
        <w:rPr>
          <w:rFonts w:ascii="Cambria" w:hAnsi="Cambria" w:cs="Times New Roman"/>
          <w:sz w:val="24"/>
          <w:szCs w:val="24"/>
        </w:rPr>
        <w:t>7</w:t>
      </w:r>
      <w:r w:rsidRPr="008775D5">
        <w:rPr>
          <w:rFonts w:ascii="Cambria" w:hAnsi="Cambria" w:cs="Times New Roman"/>
          <w:sz w:val="24"/>
          <w:szCs w:val="24"/>
        </w:rPr>
        <w:t>. ovoga izvještaja. Ovaj prihod</w:t>
      </w:r>
      <w:r w:rsidR="00742E08" w:rsidRPr="008775D5">
        <w:rPr>
          <w:rFonts w:ascii="Cambria" w:hAnsi="Cambria" w:cs="Times New Roman"/>
          <w:sz w:val="24"/>
          <w:szCs w:val="24"/>
        </w:rPr>
        <w:t xml:space="preserve"> je ostvaren u iznosu od </w:t>
      </w:r>
      <w:r w:rsidR="00140C49" w:rsidRPr="008775D5">
        <w:rPr>
          <w:rFonts w:ascii="Cambria" w:hAnsi="Cambria" w:cs="Times New Roman"/>
          <w:sz w:val="24"/>
          <w:szCs w:val="24"/>
        </w:rPr>
        <w:t>KM</w:t>
      </w:r>
      <w:r w:rsidR="00B906C1" w:rsidRPr="008775D5">
        <w:rPr>
          <w:rFonts w:ascii="Cambria" w:hAnsi="Cambria" w:cs="Times New Roman"/>
          <w:sz w:val="24"/>
          <w:szCs w:val="24"/>
        </w:rPr>
        <w:t xml:space="preserve"> </w:t>
      </w:r>
      <w:r w:rsidR="00CF77D2">
        <w:rPr>
          <w:rFonts w:ascii="Cambria" w:hAnsi="Cambria" w:cs="Times New Roman"/>
          <w:sz w:val="24"/>
          <w:szCs w:val="24"/>
          <w:lang w:val="sr-Latn-BA"/>
        </w:rPr>
        <w:t>213.486</w:t>
      </w:r>
      <w:r w:rsidR="00FF5808" w:rsidRPr="008775D5">
        <w:rPr>
          <w:rFonts w:ascii="Cambria" w:hAnsi="Cambria" w:cs="Times New Roman"/>
          <w:sz w:val="24"/>
          <w:szCs w:val="24"/>
        </w:rPr>
        <w:t xml:space="preserve"> KM </w:t>
      </w:r>
      <w:r w:rsidR="00B906C1" w:rsidRPr="008775D5">
        <w:rPr>
          <w:rFonts w:ascii="Cambria" w:hAnsi="Cambria" w:cs="Times New Roman"/>
          <w:sz w:val="24"/>
          <w:szCs w:val="24"/>
        </w:rPr>
        <w:t xml:space="preserve">od čega je prihod po osnovu upravljanja </w:t>
      </w:r>
      <w:r w:rsidR="00CF77D2">
        <w:rPr>
          <w:rFonts w:ascii="Cambria" w:hAnsi="Cambria" w:cs="Times New Roman"/>
          <w:sz w:val="24"/>
          <w:szCs w:val="24"/>
          <w:lang w:val="sr-Latn-BA"/>
        </w:rPr>
        <w:t>212.513</w:t>
      </w:r>
      <w:r w:rsidR="00972CAC" w:rsidRPr="008775D5">
        <w:rPr>
          <w:rFonts w:ascii="Cambria" w:hAnsi="Cambria" w:cs="Times New Roman"/>
          <w:sz w:val="24"/>
          <w:szCs w:val="24"/>
        </w:rPr>
        <w:t xml:space="preserve"> KM </w:t>
      </w:r>
      <w:r w:rsidR="00B906C1" w:rsidRPr="008775D5">
        <w:rPr>
          <w:rFonts w:ascii="Cambria" w:hAnsi="Cambria" w:cs="Times New Roman"/>
          <w:sz w:val="24"/>
          <w:szCs w:val="24"/>
        </w:rPr>
        <w:t xml:space="preserve">i prihod od izlazne naknade </w:t>
      </w:r>
      <w:r w:rsidR="00CF77D2">
        <w:rPr>
          <w:rFonts w:ascii="Cambria" w:hAnsi="Cambria" w:cs="Times New Roman"/>
          <w:sz w:val="24"/>
          <w:szCs w:val="24"/>
          <w:lang w:val="sr-Latn-BA"/>
        </w:rPr>
        <w:t>973</w:t>
      </w:r>
      <w:r w:rsidR="00B906C1" w:rsidRPr="008775D5">
        <w:rPr>
          <w:rFonts w:ascii="Cambria" w:hAnsi="Cambria" w:cs="Times New Roman"/>
          <w:sz w:val="24"/>
          <w:szCs w:val="24"/>
        </w:rPr>
        <w:t xml:space="preserve"> KM</w:t>
      </w:r>
      <w:r w:rsidR="00140C49" w:rsidRPr="008775D5">
        <w:rPr>
          <w:rFonts w:ascii="Cambria" w:hAnsi="Cambria" w:cs="Times New Roman"/>
          <w:sz w:val="24"/>
          <w:szCs w:val="24"/>
        </w:rPr>
        <w:t>.</w:t>
      </w:r>
    </w:p>
    <w:tbl>
      <w:tblPr>
        <w:tblStyle w:val="TableGrid"/>
        <w:tblW w:w="0" w:type="auto"/>
        <w:tblInd w:w="108" w:type="dxa"/>
        <w:tblLook w:val="04A0" w:firstRow="1" w:lastRow="0" w:firstColumn="1" w:lastColumn="0" w:noHBand="0" w:noVBand="1"/>
      </w:tblPr>
      <w:tblGrid>
        <w:gridCol w:w="4253"/>
        <w:gridCol w:w="2551"/>
        <w:gridCol w:w="2126"/>
      </w:tblGrid>
      <w:tr w:rsidR="00CF77D2" w:rsidRPr="00CF77D2" w14:paraId="76A3D6A4" w14:textId="77777777" w:rsidTr="00BD0889">
        <w:trPr>
          <w:cnfStyle w:val="100000000000" w:firstRow="1" w:lastRow="0" w:firstColumn="0" w:lastColumn="0" w:oddVBand="0" w:evenVBand="0" w:oddHBand="0" w:evenHBand="0" w:firstRowFirstColumn="0" w:firstRowLastColumn="0" w:lastRowFirstColumn="0" w:lastRowLastColumn="0"/>
        </w:trPr>
        <w:tc>
          <w:tcPr>
            <w:tcW w:w="4253" w:type="dxa"/>
            <w:shd w:val="clear" w:color="auto" w:fill="auto"/>
          </w:tcPr>
          <w:p w14:paraId="47E2E69D" w14:textId="386CB713" w:rsidR="00CF77D2" w:rsidRPr="00CF77D2" w:rsidRDefault="00CF77D2" w:rsidP="00CF77D2">
            <w:pPr>
              <w:jc w:val="center"/>
              <w:rPr>
                <w:rFonts w:ascii="Cambria" w:hAnsi="Cambria" w:cs="Times New Roman"/>
                <w:b/>
                <w:bCs/>
                <w:sz w:val="24"/>
                <w:szCs w:val="24"/>
              </w:rPr>
            </w:pPr>
            <w:bookmarkStart w:id="7" w:name="_Hlk119408131"/>
            <w:r w:rsidRPr="00CF77D2">
              <w:rPr>
                <w:rFonts w:ascii="Cambria" w:hAnsi="Cambria" w:cs="Times New Roman"/>
                <w:b/>
                <w:bCs/>
                <w:sz w:val="24"/>
                <w:szCs w:val="24"/>
              </w:rPr>
              <w:t>Opis</w:t>
            </w:r>
          </w:p>
        </w:tc>
        <w:tc>
          <w:tcPr>
            <w:tcW w:w="2551" w:type="dxa"/>
            <w:shd w:val="clear" w:color="auto" w:fill="auto"/>
          </w:tcPr>
          <w:p w14:paraId="66B5F88A" w14:textId="13DFC33F" w:rsidR="00CF77D2" w:rsidRPr="00CF77D2" w:rsidRDefault="00CF77D2" w:rsidP="00CF77D2">
            <w:pPr>
              <w:jc w:val="center"/>
              <w:rPr>
                <w:rFonts w:ascii="Cambria" w:hAnsi="Cambria" w:cs="Times New Roman"/>
                <w:b/>
                <w:bCs/>
                <w:sz w:val="24"/>
                <w:szCs w:val="24"/>
              </w:rPr>
            </w:pPr>
            <w:r w:rsidRPr="00CF77D2">
              <w:rPr>
                <w:rFonts w:ascii="Cambria" w:hAnsi="Cambria" w:cs="Times New Roman"/>
                <w:b/>
                <w:bCs/>
                <w:sz w:val="24"/>
                <w:szCs w:val="24"/>
              </w:rPr>
              <w:t>2023</w:t>
            </w:r>
          </w:p>
        </w:tc>
        <w:tc>
          <w:tcPr>
            <w:tcW w:w="2126" w:type="dxa"/>
            <w:shd w:val="clear" w:color="auto" w:fill="auto"/>
          </w:tcPr>
          <w:p w14:paraId="6E0CA85C" w14:textId="5FC8CBE1" w:rsidR="00CF77D2" w:rsidRPr="00CF77D2" w:rsidRDefault="00CF77D2" w:rsidP="00CF77D2">
            <w:pPr>
              <w:jc w:val="center"/>
              <w:rPr>
                <w:rFonts w:ascii="Cambria" w:hAnsi="Cambria" w:cs="Times New Roman"/>
                <w:b/>
                <w:bCs/>
                <w:sz w:val="24"/>
                <w:szCs w:val="24"/>
              </w:rPr>
            </w:pPr>
            <w:r w:rsidRPr="00CF77D2">
              <w:rPr>
                <w:rFonts w:ascii="Cambria" w:hAnsi="Cambria"/>
                <w:b/>
                <w:bCs/>
              </w:rPr>
              <w:t>2022</w:t>
            </w:r>
          </w:p>
        </w:tc>
      </w:tr>
      <w:tr w:rsidR="00CF77D2" w:rsidRPr="00CF77D2" w14:paraId="1A613A58" w14:textId="77777777" w:rsidTr="00BD0889">
        <w:tc>
          <w:tcPr>
            <w:tcW w:w="4253" w:type="dxa"/>
          </w:tcPr>
          <w:p w14:paraId="066E5049" w14:textId="144E0773" w:rsidR="00CF77D2" w:rsidRPr="00CF77D2" w:rsidRDefault="00CF77D2" w:rsidP="00CF77D2">
            <w:pPr>
              <w:jc w:val="both"/>
              <w:rPr>
                <w:rFonts w:ascii="Cambria" w:hAnsi="Cambria" w:cs="Times New Roman"/>
                <w:sz w:val="24"/>
                <w:szCs w:val="24"/>
              </w:rPr>
            </w:pPr>
            <w:r w:rsidRPr="00CF77D2">
              <w:rPr>
                <w:rFonts w:ascii="Cambria" w:hAnsi="Cambria" w:cs="Times New Roman"/>
                <w:sz w:val="24"/>
                <w:szCs w:val="24"/>
              </w:rPr>
              <w:t>Prihodi od prodaje učinaka</w:t>
            </w:r>
          </w:p>
        </w:tc>
        <w:tc>
          <w:tcPr>
            <w:tcW w:w="2551" w:type="dxa"/>
          </w:tcPr>
          <w:p w14:paraId="510AB9FD" w14:textId="637EC74C" w:rsidR="00CF77D2" w:rsidRPr="00CF77D2" w:rsidRDefault="00CF77D2" w:rsidP="00CF77D2">
            <w:pPr>
              <w:jc w:val="right"/>
              <w:rPr>
                <w:rFonts w:ascii="Cambria" w:hAnsi="Cambria" w:cs="Times New Roman"/>
                <w:sz w:val="24"/>
                <w:szCs w:val="24"/>
                <w:lang w:val="sr-Latn-BA"/>
              </w:rPr>
            </w:pPr>
            <w:r w:rsidRPr="00CF77D2">
              <w:rPr>
                <w:rFonts w:ascii="Cambria" w:hAnsi="Cambria" w:cs="Times New Roman"/>
                <w:sz w:val="24"/>
                <w:szCs w:val="24"/>
                <w:lang w:val="sr-Latn-BA"/>
              </w:rPr>
              <w:t>213.486</w:t>
            </w:r>
          </w:p>
        </w:tc>
        <w:tc>
          <w:tcPr>
            <w:tcW w:w="2126" w:type="dxa"/>
          </w:tcPr>
          <w:p w14:paraId="238E04F7" w14:textId="0FD121E0" w:rsidR="00CF77D2" w:rsidRPr="00CF77D2" w:rsidRDefault="00CF77D2" w:rsidP="00CF77D2">
            <w:pPr>
              <w:jc w:val="right"/>
              <w:rPr>
                <w:rFonts w:ascii="Cambria" w:hAnsi="Cambria" w:cs="Times New Roman"/>
                <w:sz w:val="24"/>
                <w:szCs w:val="24"/>
              </w:rPr>
            </w:pPr>
            <w:r w:rsidRPr="00CF77D2">
              <w:rPr>
                <w:rFonts w:ascii="Cambria" w:hAnsi="Cambria"/>
              </w:rPr>
              <w:t>245.865</w:t>
            </w:r>
          </w:p>
        </w:tc>
      </w:tr>
      <w:tr w:rsidR="00CF77D2" w:rsidRPr="00CF77D2" w14:paraId="5F9286F9" w14:textId="77777777" w:rsidTr="00BD0889">
        <w:tc>
          <w:tcPr>
            <w:tcW w:w="4253" w:type="dxa"/>
          </w:tcPr>
          <w:p w14:paraId="74A2EF01" w14:textId="2CE60AEE" w:rsidR="00CF77D2" w:rsidRPr="00CF77D2" w:rsidRDefault="00CF77D2" w:rsidP="00CF77D2">
            <w:pPr>
              <w:jc w:val="both"/>
              <w:rPr>
                <w:rFonts w:ascii="Cambria" w:hAnsi="Cambria" w:cs="Times New Roman"/>
                <w:sz w:val="24"/>
                <w:szCs w:val="24"/>
              </w:rPr>
            </w:pPr>
            <w:r w:rsidRPr="00CF77D2">
              <w:rPr>
                <w:rFonts w:ascii="Cambria" w:hAnsi="Cambria" w:cs="Times New Roman"/>
                <w:sz w:val="24"/>
                <w:szCs w:val="24"/>
              </w:rPr>
              <w:t>Ostali poslovni prihodi</w:t>
            </w:r>
          </w:p>
        </w:tc>
        <w:tc>
          <w:tcPr>
            <w:tcW w:w="2551" w:type="dxa"/>
          </w:tcPr>
          <w:p w14:paraId="29B7E377" w14:textId="04928291" w:rsidR="00CF77D2" w:rsidRPr="00CF77D2" w:rsidRDefault="00CF77D2" w:rsidP="00CF77D2">
            <w:pPr>
              <w:jc w:val="right"/>
              <w:rPr>
                <w:rFonts w:ascii="Cambria" w:hAnsi="Cambria" w:cs="Times New Roman"/>
                <w:sz w:val="24"/>
                <w:szCs w:val="24"/>
                <w:lang w:val="sr-Cyrl-BA"/>
              </w:rPr>
            </w:pPr>
          </w:p>
        </w:tc>
        <w:tc>
          <w:tcPr>
            <w:tcW w:w="2126" w:type="dxa"/>
          </w:tcPr>
          <w:p w14:paraId="0E9E0781" w14:textId="650D5A20" w:rsidR="00CF77D2" w:rsidRPr="00CF77D2" w:rsidRDefault="00CF77D2" w:rsidP="00CF77D2">
            <w:pPr>
              <w:jc w:val="right"/>
              <w:rPr>
                <w:rFonts w:ascii="Cambria" w:hAnsi="Cambria" w:cs="Times New Roman"/>
                <w:sz w:val="24"/>
                <w:szCs w:val="24"/>
              </w:rPr>
            </w:pPr>
          </w:p>
        </w:tc>
      </w:tr>
      <w:tr w:rsidR="00CF77D2" w:rsidRPr="00CF77D2" w14:paraId="147AF7AE" w14:textId="77777777" w:rsidTr="00BD0889">
        <w:tc>
          <w:tcPr>
            <w:tcW w:w="4253" w:type="dxa"/>
          </w:tcPr>
          <w:p w14:paraId="64A86319" w14:textId="202DFA8F" w:rsidR="00CF77D2" w:rsidRPr="00CF77D2" w:rsidRDefault="00CF77D2" w:rsidP="00CF77D2">
            <w:pPr>
              <w:jc w:val="both"/>
              <w:rPr>
                <w:rFonts w:ascii="Cambria" w:hAnsi="Cambria" w:cs="Times New Roman"/>
                <w:b/>
                <w:bCs/>
                <w:sz w:val="24"/>
                <w:szCs w:val="24"/>
              </w:rPr>
            </w:pPr>
            <w:r w:rsidRPr="00CF77D2">
              <w:rPr>
                <w:rFonts w:ascii="Cambria" w:hAnsi="Cambria" w:cs="Times New Roman"/>
                <w:b/>
                <w:bCs/>
                <w:sz w:val="24"/>
                <w:szCs w:val="24"/>
              </w:rPr>
              <w:t>Ukupno poslovni prihodi</w:t>
            </w:r>
          </w:p>
        </w:tc>
        <w:tc>
          <w:tcPr>
            <w:tcW w:w="2551" w:type="dxa"/>
          </w:tcPr>
          <w:p w14:paraId="2AEE9BE9" w14:textId="0060D914" w:rsidR="00CF77D2" w:rsidRPr="00CF77D2" w:rsidRDefault="00CF77D2" w:rsidP="00CF77D2">
            <w:pPr>
              <w:jc w:val="right"/>
              <w:rPr>
                <w:rFonts w:ascii="Cambria" w:hAnsi="Cambria" w:cs="Times New Roman"/>
                <w:b/>
                <w:bCs/>
                <w:sz w:val="24"/>
                <w:szCs w:val="24"/>
                <w:lang w:val="sr-Cyrl-BA"/>
              </w:rPr>
            </w:pPr>
            <w:r w:rsidRPr="00CF77D2">
              <w:rPr>
                <w:rFonts w:ascii="Cambria" w:hAnsi="Cambria" w:cs="Times New Roman"/>
                <w:b/>
                <w:bCs/>
                <w:sz w:val="24"/>
                <w:szCs w:val="24"/>
                <w:lang w:val="sr-Cyrl-BA"/>
              </w:rPr>
              <w:t>213.486</w:t>
            </w:r>
          </w:p>
        </w:tc>
        <w:tc>
          <w:tcPr>
            <w:tcW w:w="2126" w:type="dxa"/>
          </w:tcPr>
          <w:p w14:paraId="1EE00DB7" w14:textId="14B7D993" w:rsidR="00CF77D2" w:rsidRPr="00CF77D2" w:rsidRDefault="00CF77D2" w:rsidP="00CF77D2">
            <w:pPr>
              <w:jc w:val="right"/>
              <w:rPr>
                <w:rFonts w:ascii="Cambria" w:hAnsi="Cambria" w:cs="Times New Roman"/>
                <w:b/>
                <w:bCs/>
                <w:sz w:val="24"/>
                <w:szCs w:val="24"/>
              </w:rPr>
            </w:pPr>
            <w:r w:rsidRPr="00CF77D2">
              <w:rPr>
                <w:rFonts w:ascii="Cambria" w:hAnsi="Cambria"/>
                <w:b/>
                <w:bCs/>
              </w:rPr>
              <w:t>245.865</w:t>
            </w:r>
          </w:p>
        </w:tc>
      </w:tr>
      <w:bookmarkEnd w:id="7"/>
    </w:tbl>
    <w:p w14:paraId="206B4343" w14:textId="77777777" w:rsidR="00E44076" w:rsidRPr="00CF77D2" w:rsidRDefault="00E44076" w:rsidP="00BD0889">
      <w:pPr>
        <w:spacing w:after="0" w:line="240" w:lineRule="auto"/>
        <w:jc w:val="both"/>
        <w:rPr>
          <w:rFonts w:ascii="Cambria" w:hAnsi="Cambria" w:cs="Times New Roman"/>
          <w:sz w:val="24"/>
          <w:szCs w:val="24"/>
        </w:rPr>
      </w:pPr>
    </w:p>
    <w:p w14:paraId="4B923A60" w14:textId="69D78270" w:rsidR="007B51C4" w:rsidRPr="00CF77D2" w:rsidRDefault="007B51C4" w:rsidP="007B51C4">
      <w:pPr>
        <w:spacing w:line="240" w:lineRule="auto"/>
        <w:jc w:val="both"/>
        <w:rPr>
          <w:rFonts w:ascii="Cambria" w:hAnsi="Cambria" w:cs="Times New Roman"/>
          <w:b/>
          <w:iCs/>
          <w:sz w:val="24"/>
          <w:szCs w:val="24"/>
        </w:rPr>
      </w:pPr>
      <w:r w:rsidRPr="00CF77D2">
        <w:rPr>
          <w:rFonts w:ascii="Cambria" w:hAnsi="Cambria" w:cs="Times New Roman"/>
          <w:b/>
          <w:sz w:val="24"/>
          <w:szCs w:val="24"/>
        </w:rPr>
        <w:t>4.2. Finansijski prihodi</w:t>
      </w:r>
      <w:r w:rsidR="00FA0001" w:rsidRPr="00CF77D2">
        <w:rPr>
          <w:rFonts w:ascii="Cambria" w:hAnsi="Cambria" w:cs="Times New Roman"/>
          <w:b/>
          <w:sz w:val="24"/>
          <w:szCs w:val="24"/>
        </w:rPr>
        <w:t xml:space="preserve"> </w:t>
      </w:r>
      <w:r w:rsidR="00FA0001" w:rsidRPr="00CF77D2">
        <w:rPr>
          <w:rFonts w:ascii="Cambria" w:hAnsi="Cambria" w:cs="Times New Roman"/>
          <w:b/>
          <w:i/>
          <w:sz w:val="24"/>
          <w:szCs w:val="24"/>
        </w:rPr>
        <w:t>-</w:t>
      </w:r>
      <w:r w:rsidR="00FA0001" w:rsidRPr="00CF77D2">
        <w:rPr>
          <w:rFonts w:ascii="Cambria" w:hAnsi="Cambria" w:cs="Times New Roman"/>
          <w:b/>
          <w:iCs/>
          <w:sz w:val="24"/>
          <w:szCs w:val="24"/>
        </w:rPr>
        <w:t>Napomena 6BU</w:t>
      </w:r>
    </w:p>
    <w:p w14:paraId="43D65F20" w14:textId="511B6515" w:rsidR="007B51C4" w:rsidRPr="00CF77D2" w:rsidRDefault="007B51C4" w:rsidP="007B51C4">
      <w:pPr>
        <w:spacing w:line="240" w:lineRule="auto"/>
        <w:jc w:val="both"/>
        <w:rPr>
          <w:rFonts w:ascii="Cambria" w:hAnsi="Cambria" w:cs="Times New Roman"/>
          <w:sz w:val="24"/>
          <w:szCs w:val="24"/>
        </w:rPr>
      </w:pPr>
      <w:r w:rsidRPr="00CF77D2">
        <w:rPr>
          <w:rFonts w:ascii="Cambria" w:hAnsi="Cambria" w:cs="Times New Roman"/>
          <w:sz w:val="24"/>
          <w:szCs w:val="24"/>
        </w:rPr>
        <w:t>Finansijski prihodi su iskazani  po osnovu kamata na depozit po viđenju kod poslovnih banaka.</w:t>
      </w:r>
    </w:p>
    <w:tbl>
      <w:tblPr>
        <w:tblStyle w:val="TableGrid"/>
        <w:tblW w:w="0" w:type="auto"/>
        <w:tblInd w:w="108" w:type="dxa"/>
        <w:tblLook w:val="04A0" w:firstRow="1" w:lastRow="0" w:firstColumn="1" w:lastColumn="0" w:noHBand="0" w:noVBand="1"/>
      </w:tblPr>
      <w:tblGrid>
        <w:gridCol w:w="4253"/>
        <w:gridCol w:w="2551"/>
        <w:gridCol w:w="2126"/>
      </w:tblGrid>
      <w:tr w:rsidR="007B51C4" w:rsidRPr="00CF77D2" w14:paraId="3A2058D0" w14:textId="77777777" w:rsidTr="00BD0889">
        <w:trPr>
          <w:cnfStyle w:val="100000000000" w:firstRow="1" w:lastRow="0" w:firstColumn="0" w:lastColumn="0" w:oddVBand="0" w:evenVBand="0" w:oddHBand="0" w:evenHBand="0" w:firstRowFirstColumn="0" w:firstRowLastColumn="0" w:lastRowFirstColumn="0" w:lastRowLastColumn="0"/>
        </w:trPr>
        <w:tc>
          <w:tcPr>
            <w:tcW w:w="4253" w:type="dxa"/>
            <w:shd w:val="clear" w:color="auto" w:fill="auto"/>
          </w:tcPr>
          <w:p w14:paraId="1E21D826" w14:textId="77777777" w:rsidR="007B51C4" w:rsidRPr="00CF77D2" w:rsidRDefault="007B51C4" w:rsidP="00B03AD5">
            <w:pPr>
              <w:jc w:val="center"/>
              <w:rPr>
                <w:rFonts w:ascii="Cambria" w:hAnsi="Cambria" w:cs="Times New Roman"/>
                <w:b/>
                <w:bCs/>
                <w:sz w:val="24"/>
                <w:szCs w:val="24"/>
              </w:rPr>
            </w:pPr>
            <w:r w:rsidRPr="00CF77D2">
              <w:rPr>
                <w:rFonts w:ascii="Cambria" w:hAnsi="Cambria" w:cs="Times New Roman"/>
                <w:b/>
                <w:bCs/>
                <w:sz w:val="24"/>
                <w:szCs w:val="24"/>
              </w:rPr>
              <w:t>Opis</w:t>
            </w:r>
          </w:p>
        </w:tc>
        <w:tc>
          <w:tcPr>
            <w:tcW w:w="2551" w:type="dxa"/>
            <w:shd w:val="clear" w:color="auto" w:fill="auto"/>
          </w:tcPr>
          <w:p w14:paraId="136DDBA3" w14:textId="02864F50" w:rsidR="007B51C4" w:rsidRPr="00CF77D2" w:rsidRDefault="007B51C4" w:rsidP="00B03AD5">
            <w:pPr>
              <w:jc w:val="center"/>
              <w:rPr>
                <w:rFonts w:ascii="Cambria" w:hAnsi="Cambria" w:cs="Times New Roman"/>
                <w:b/>
                <w:bCs/>
                <w:sz w:val="24"/>
                <w:szCs w:val="24"/>
              </w:rPr>
            </w:pPr>
            <w:r w:rsidRPr="00CF77D2">
              <w:rPr>
                <w:rFonts w:ascii="Cambria" w:hAnsi="Cambria" w:cs="Times New Roman"/>
                <w:b/>
                <w:bCs/>
                <w:sz w:val="24"/>
                <w:szCs w:val="24"/>
              </w:rPr>
              <w:t>202</w:t>
            </w:r>
            <w:r w:rsidR="00CF77D2" w:rsidRPr="00CF77D2">
              <w:rPr>
                <w:rFonts w:ascii="Cambria" w:hAnsi="Cambria" w:cs="Times New Roman"/>
                <w:b/>
                <w:bCs/>
                <w:sz w:val="24"/>
                <w:szCs w:val="24"/>
              </w:rPr>
              <w:t>3</w:t>
            </w:r>
          </w:p>
        </w:tc>
        <w:tc>
          <w:tcPr>
            <w:tcW w:w="2126" w:type="dxa"/>
            <w:shd w:val="clear" w:color="auto" w:fill="auto"/>
          </w:tcPr>
          <w:p w14:paraId="788FA7AC" w14:textId="3B8F28F7" w:rsidR="007B51C4" w:rsidRPr="00CF77D2" w:rsidRDefault="007B51C4" w:rsidP="00B03AD5">
            <w:pPr>
              <w:jc w:val="center"/>
              <w:rPr>
                <w:rFonts w:ascii="Cambria" w:hAnsi="Cambria" w:cs="Times New Roman"/>
                <w:b/>
                <w:bCs/>
                <w:sz w:val="24"/>
                <w:szCs w:val="24"/>
              </w:rPr>
            </w:pPr>
            <w:r w:rsidRPr="00CF77D2">
              <w:rPr>
                <w:rFonts w:ascii="Cambria" w:hAnsi="Cambria" w:cs="Times New Roman"/>
                <w:b/>
                <w:bCs/>
                <w:sz w:val="24"/>
                <w:szCs w:val="24"/>
              </w:rPr>
              <w:t>202</w:t>
            </w:r>
            <w:r w:rsidR="00CF77D2" w:rsidRPr="00CF77D2">
              <w:rPr>
                <w:rFonts w:ascii="Cambria" w:hAnsi="Cambria" w:cs="Times New Roman"/>
                <w:b/>
                <w:bCs/>
                <w:sz w:val="24"/>
                <w:szCs w:val="24"/>
              </w:rPr>
              <w:t>2</w:t>
            </w:r>
          </w:p>
        </w:tc>
      </w:tr>
      <w:tr w:rsidR="00CF77D2" w:rsidRPr="008775D5" w14:paraId="1B43F116" w14:textId="77777777" w:rsidTr="00BD0889">
        <w:tc>
          <w:tcPr>
            <w:tcW w:w="4253" w:type="dxa"/>
          </w:tcPr>
          <w:p w14:paraId="05FBE9A0" w14:textId="1E3D766C" w:rsidR="00CF77D2" w:rsidRPr="00CF77D2" w:rsidRDefault="00CF77D2" w:rsidP="00CF77D2">
            <w:pPr>
              <w:jc w:val="both"/>
              <w:rPr>
                <w:rFonts w:ascii="Cambria" w:hAnsi="Cambria" w:cs="Times New Roman"/>
                <w:sz w:val="24"/>
                <w:szCs w:val="24"/>
              </w:rPr>
            </w:pPr>
            <w:r w:rsidRPr="00CF77D2">
              <w:rPr>
                <w:rFonts w:ascii="Cambria" w:hAnsi="Cambria" w:cs="Times New Roman"/>
                <w:sz w:val="24"/>
                <w:szCs w:val="24"/>
              </w:rPr>
              <w:t>Prihodi od kamata</w:t>
            </w:r>
          </w:p>
        </w:tc>
        <w:tc>
          <w:tcPr>
            <w:tcW w:w="2551" w:type="dxa"/>
          </w:tcPr>
          <w:p w14:paraId="2C3E4C3C" w14:textId="0D14B798" w:rsidR="00CF77D2" w:rsidRPr="00CF77D2" w:rsidRDefault="00CF77D2" w:rsidP="00CF77D2">
            <w:pPr>
              <w:jc w:val="right"/>
              <w:rPr>
                <w:rFonts w:ascii="Cambria" w:hAnsi="Cambria" w:cs="Times New Roman"/>
                <w:sz w:val="24"/>
                <w:szCs w:val="24"/>
                <w:lang w:val="sr-Latn-BA"/>
              </w:rPr>
            </w:pPr>
            <w:r w:rsidRPr="00CF77D2">
              <w:rPr>
                <w:rFonts w:ascii="Cambria" w:hAnsi="Cambria" w:cs="Times New Roman"/>
                <w:sz w:val="24"/>
                <w:szCs w:val="24"/>
                <w:lang w:val="sr-Latn-BA"/>
              </w:rPr>
              <w:t>0,00</w:t>
            </w:r>
          </w:p>
        </w:tc>
        <w:tc>
          <w:tcPr>
            <w:tcW w:w="2126" w:type="dxa"/>
          </w:tcPr>
          <w:p w14:paraId="6CFF5A9C" w14:textId="44DE2AEA" w:rsidR="00CF77D2" w:rsidRPr="00CF77D2" w:rsidRDefault="00CF77D2" w:rsidP="00CF77D2">
            <w:pPr>
              <w:jc w:val="right"/>
              <w:rPr>
                <w:rFonts w:ascii="Cambria" w:hAnsi="Cambria" w:cs="Times New Roman"/>
                <w:sz w:val="24"/>
                <w:szCs w:val="24"/>
              </w:rPr>
            </w:pPr>
            <w:r w:rsidRPr="00CF77D2">
              <w:rPr>
                <w:rFonts w:ascii="Cambria" w:hAnsi="Cambria"/>
              </w:rPr>
              <w:t>1.771</w:t>
            </w:r>
          </w:p>
        </w:tc>
      </w:tr>
      <w:tr w:rsidR="00CF77D2" w:rsidRPr="008775D5" w14:paraId="47FECC7A" w14:textId="77777777" w:rsidTr="00BD0889">
        <w:tc>
          <w:tcPr>
            <w:tcW w:w="4253" w:type="dxa"/>
          </w:tcPr>
          <w:p w14:paraId="41560F93" w14:textId="23B2A502" w:rsidR="00CF77D2" w:rsidRPr="008775D5" w:rsidRDefault="00CF77D2" w:rsidP="00CF77D2">
            <w:pPr>
              <w:jc w:val="both"/>
              <w:rPr>
                <w:rFonts w:ascii="Cambria" w:hAnsi="Cambria" w:cs="Times New Roman"/>
                <w:b/>
                <w:bCs/>
                <w:sz w:val="24"/>
                <w:szCs w:val="24"/>
              </w:rPr>
            </w:pPr>
            <w:r w:rsidRPr="008775D5">
              <w:rPr>
                <w:rFonts w:ascii="Cambria" w:hAnsi="Cambria" w:cs="Times New Roman"/>
                <w:b/>
                <w:bCs/>
                <w:sz w:val="24"/>
                <w:szCs w:val="24"/>
              </w:rPr>
              <w:t>Ukupno finansijski prihodi</w:t>
            </w:r>
          </w:p>
        </w:tc>
        <w:tc>
          <w:tcPr>
            <w:tcW w:w="2551" w:type="dxa"/>
          </w:tcPr>
          <w:p w14:paraId="1DA05A76" w14:textId="21C4C2CA" w:rsidR="00CF77D2" w:rsidRPr="008775D5" w:rsidRDefault="00CF77D2" w:rsidP="00CF77D2">
            <w:pPr>
              <w:jc w:val="right"/>
              <w:rPr>
                <w:rFonts w:ascii="Cambria" w:hAnsi="Cambria" w:cs="Times New Roman"/>
                <w:b/>
                <w:bCs/>
                <w:sz w:val="24"/>
                <w:szCs w:val="24"/>
              </w:rPr>
            </w:pPr>
            <w:r>
              <w:rPr>
                <w:rFonts w:ascii="Cambria" w:hAnsi="Cambria" w:cs="Times New Roman"/>
                <w:b/>
                <w:bCs/>
                <w:sz w:val="24"/>
                <w:szCs w:val="24"/>
              </w:rPr>
              <w:t>0,00</w:t>
            </w:r>
          </w:p>
        </w:tc>
        <w:tc>
          <w:tcPr>
            <w:tcW w:w="2126" w:type="dxa"/>
          </w:tcPr>
          <w:p w14:paraId="2BBB3576" w14:textId="7B816CD5" w:rsidR="00CF77D2" w:rsidRPr="00CF77D2" w:rsidRDefault="00CF77D2" w:rsidP="00CF77D2">
            <w:pPr>
              <w:jc w:val="right"/>
              <w:rPr>
                <w:rFonts w:ascii="Cambria" w:hAnsi="Cambria" w:cs="Times New Roman"/>
                <w:b/>
                <w:bCs/>
                <w:sz w:val="24"/>
                <w:szCs w:val="24"/>
              </w:rPr>
            </w:pPr>
            <w:r>
              <w:rPr>
                <w:rFonts w:ascii="Cambria" w:hAnsi="Cambria"/>
                <w:b/>
                <w:bCs/>
              </w:rPr>
              <w:t>1.771</w:t>
            </w:r>
          </w:p>
        </w:tc>
      </w:tr>
    </w:tbl>
    <w:p w14:paraId="3ED305D7" w14:textId="251EF4F9" w:rsidR="00DA7B79" w:rsidRDefault="00DA7B79" w:rsidP="00BD0889">
      <w:pPr>
        <w:spacing w:after="0"/>
        <w:jc w:val="both"/>
        <w:rPr>
          <w:rFonts w:ascii="Cambria" w:hAnsi="Cambria" w:cs="Times New Roman"/>
          <w:b/>
          <w:iCs/>
          <w:sz w:val="24"/>
          <w:szCs w:val="24"/>
        </w:rPr>
      </w:pPr>
    </w:p>
    <w:p w14:paraId="2FA8B559" w14:textId="77777777" w:rsidR="00D254BB" w:rsidRPr="008775D5" w:rsidRDefault="00D254BB" w:rsidP="00BD0889">
      <w:pPr>
        <w:spacing w:after="0"/>
        <w:jc w:val="both"/>
        <w:rPr>
          <w:rFonts w:ascii="Cambria" w:hAnsi="Cambria" w:cs="Times New Roman"/>
          <w:b/>
          <w:iCs/>
          <w:sz w:val="24"/>
          <w:szCs w:val="24"/>
        </w:rPr>
      </w:pPr>
    </w:p>
    <w:p w14:paraId="2C23C88B" w14:textId="70FE62A1" w:rsidR="007B51C4" w:rsidRPr="008775D5" w:rsidRDefault="007B51C4" w:rsidP="001C745E">
      <w:pPr>
        <w:spacing w:line="240" w:lineRule="auto"/>
        <w:jc w:val="both"/>
        <w:rPr>
          <w:rFonts w:ascii="Cambria" w:hAnsi="Cambria" w:cs="Times New Roman"/>
          <w:b/>
          <w:iCs/>
          <w:sz w:val="24"/>
          <w:szCs w:val="24"/>
        </w:rPr>
      </w:pPr>
      <w:r w:rsidRPr="008775D5">
        <w:rPr>
          <w:rFonts w:ascii="Cambria" w:hAnsi="Cambria" w:cs="Times New Roman"/>
          <w:b/>
          <w:iCs/>
          <w:sz w:val="24"/>
          <w:szCs w:val="24"/>
        </w:rPr>
        <w:lastRenderedPageBreak/>
        <w:t>5. Rashodi</w:t>
      </w:r>
      <w:r w:rsidR="00483433">
        <w:rPr>
          <w:rFonts w:ascii="Cambria" w:hAnsi="Cambria" w:cs="Times New Roman"/>
          <w:b/>
          <w:iCs/>
          <w:sz w:val="24"/>
          <w:szCs w:val="24"/>
        </w:rPr>
        <w:t xml:space="preserve"> </w:t>
      </w:r>
      <w:r w:rsidR="001C745E">
        <w:rPr>
          <w:rFonts w:ascii="Cambria" w:hAnsi="Cambria" w:cs="Times New Roman"/>
          <w:b/>
          <w:i/>
          <w:sz w:val="24"/>
          <w:szCs w:val="24"/>
        </w:rPr>
        <w:t>-</w:t>
      </w:r>
      <w:r w:rsidR="00483433">
        <w:rPr>
          <w:rFonts w:ascii="Cambria" w:hAnsi="Cambria" w:cs="Times New Roman"/>
          <w:b/>
          <w:i/>
          <w:sz w:val="24"/>
          <w:szCs w:val="24"/>
        </w:rPr>
        <w:t xml:space="preserve"> </w:t>
      </w:r>
      <w:r w:rsidR="001C745E" w:rsidRPr="00FA0001">
        <w:rPr>
          <w:rFonts w:ascii="Cambria" w:hAnsi="Cambria" w:cs="Times New Roman"/>
          <w:b/>
          <w:iCs/>
          <w:sz w:val="24"/>
          <w:szCs w:val="24"/>
        </w:rPr>
        <w:t xml:space="preserve">Napomena </w:t>
      </w:r>
      <w:r w:rsidR="001C745E">
        <w:rPr>
          <w:rFonts w:ascii="Cambria" w:hAnsi="Cambria" w:cs="Times New Roman"/>
          <w:b/>
          <w:iCs/>
          <w:sz w:val="24"/>
          <w:szCs w:val="24"/>
        </w:rPr>
        <w:t>7BU</w:t>
      </w:r>
    </w:p>
    <w:p w14:paraId="3688C0D6" w14:textId="1572F95A" w:rsidR="006B7B69" w:rsidRPr="008775D5" w:rsidRDefault="007B51C4" w:rsidP="003745D5">
      <w:pPr>
        <w:jc w:val="both"/>
        <w:rPr>
          <w:rFonts w:ascii="Cambria" w:hAnsi="Cambria" w:cs="Times New Roman"/>
          <w:b/>
          <w:i/>
          <w:sz w:val="24"/>
          <w:szCs w:val="24"/>
        </w:rPr>
      </w:pPr>
      <w:r w:rsidRPr="008775D5">
        <w:rPr>
          <w:rFonts w:ascii="Cambria" w:hAnsi="Cambria" w:cs="Times New Roman"/>
          <w:b/>
          <w:i/>
          <w:sz w:val="24"/>
          <w:szCs w:val="24"/>
        </w:rPr>
        <w:t>5</w:t>
      </w:r>
      <w:r w:rsidR="006B7B69" w:rsidRPr="008775D5">
        <w:rPr>
          <w:rFonts w:ascii="Cambria" w:hAnsi="Cambria" w:cs="Times New Roman"/>
          <w:b/>
          <w:i/>
          <w:sz w:val="24"/>
          <w:szCs w:val="24"/>
        </w:rPr>
        <w:t>.</w:t>
      </w:r>
      <w:r w:rsidRPr="008775D5">
        <w:rPr>
          <w:rFonts w:ascii="Cambria" w:hAnsi="Cambria" w:cs="Times New Roman"/>
          <w:b/>
          <w:i/>
          <w:sz w:val="24"/>
          <w:szCs w:val="24"/>
        </w:rPr>
        <w:t>1</w:t>
      </w:r>
      <w:r w:rsidR="006B7B69" w:rsidRPr="008775D5">
        <w:rPr>
          <w:rFonts w:ascii="Cambria" w:hAnsi="Cambria" w:cs="Times New Roman"/>
          <w:b/>
          <w:i/>
          <w:sz w:val="24"/>
          <w:szCs w:val="24"/>
        </w:rPr>
        <w:t xml:space="preserve">. Poslovni </w:t>
      </w:r>
      <w:r w:rsidR="009371FB" w:rsidRPr="008775D5">
        <w:rPr>
          <w:rFonts w:ascii="Cambria" w:hAnsi="Cambria" w:cs="Times New Roman"/>
          <w:b/>
          <w:i/>
          <w:sz w:val="24"/>
          <w:szCs w:val="24"/>
        </w:rPr>
        <w:t>ra</w:t>
      </w:r>
      <w:r w:rsidR="006B7B69" w:rsidRPr="008775D5">
        <w:rPr>
          <w:rFonts w:ascii="Cambria" w:hAnsi="Cambria" w:cs="Times New Roman"/>
          <w:b/>
          <w:i/>
          <w:sz w:val="24"/>
          <w:szCs w:val="24"/>
        </w:rPr>
        <w:t>shod</w:t>
      </w:r>
      <w:r w:rsidR="00E96E14" w:rsidRPr="008775D5">
        <w:rPr>
          <w:rFonts w:ascii="Cambria" w:hAnsi="Cambria" w:cs="Times New Roman"/>
          <w:b/>
          <w:i/>
          <w:sz w:val="24"/>
          <w:szCs w:val="24"/>
        </w:rPr>
        <w:t>i</w:t>
      </w:r>
      <w:r w:rsidR="001C745E">
        <w:rPr>
          <w:rFonts w:ascii="Cambria" w:hAnsi="Cambria" w:cs="Times New Roman"/>
          <w:b/>
          <w:i/>
          <w:sz w:val="24"/>
          <w:szCs w:val="24"/>
        </w:rPr>
        <w:t xml:space="preserve"> </w:t>
      </w:r>
    </w:p>
    <w:tbl>
      <w:tblPr>
        <w:tblStyle w:val="ListTable1Light"/>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5"/>
        <w:gridCol w:w="2027"/>
        <w:gridCol w:w="45"/>
        <w:gridCol w:w="1777"/>
      </w:tblGrid>
      <w:tr w:rsidR="00AE3434" w:rsidRPr="00C97AD6" w14:paraId="18F0A468" w14:textId="2773182F" w:rsidTr="00C97AD6">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4565" w:type="dxa"/>
            <w:tcBorders>
              <w:top w:val="single" w:sz="4" w:space="0" w:color="auto"/>
              <w:left w:val="single" w:sz="4" w:space="0" w:color="auto"/>
              <w:bottom w:val="single" w:sz="4" w:space="0" w:color="auto"/>
              <w:right w:val="single" w:sz="4" w:space="0" w:color="auto"/>
            </w:tcBorders>
            <w:noWrap/>
            <w:hideMark/>
          </w:tcPr>
          <w:p w14:paraId="375AAE21" w14:textId="5BD214F4" w:rsidR="00AE3434" w:rsidRPr="00C97AD6" w:rsidRDefault="00AE3434" w:rsidP="00AE3434">
            <w:pPr>
              <w:jc w:val="center"/>
              <w:rPr>
                <w:rFonts w:asciiTheme="majorHAnsi" w:eastAsia="Times New Roman" w:hAnsiTheme="majorHAnsi" w:cs="Times New Roman"/>
                <w:b w:val="0"/>
                <w:bCs w:val="0"/>
                <w:color w:val="000000"/>
              </w:rPr>
            </w:pPr>
            <w:r w:rsidRPr="00C97AD6">
              <w:rPr>
                <w:rFonts w:asciiTheme="majorHAnsi" w:hAnsiTheme="majorHAnsi"/>
              </w:rPr>
              <w:t>Opis</w:t>
            </w:r>
          </w:p>
        </w:tc>
        <w:tc>
          <w:tcPr>
            <w:tcW w:w="2072" w:type="dxa"/>
            <w:gridSpan w:val="2"/>
            <w:tcBorders>
              <w:top w:val="single" w:sz="4" w:space="0" w:color="auto"/>
              <w:left w:val="single" w:sz="4" w:space="0" w:color="auto"/>
              <w:bottom w:val="single" w:sz="4" w:space="0" w:color="auto"/>
              <w:right w:val="single" w:sz="4" w:space="0" w:color="auto"/>
            </w:tcBorders>
            <w:noWrap/>
            <w:hideMark/>
          </w:tcPr>
          <w:p w14:paraId="2CD70068" w14:textId="480C8DB8" w:rsidR="00AE3434" w:rsidRPr="00C97AD6" w:rsidRDefault="00AE3434" w:rsidP="00AE3434">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 w:val="0"/>
                <w:bCs w:val="0"/>
              </w:rPr>
            </w:pPr>
            <w:r w:rsidRPr="00C97AD6">
              <w:rPr>
                <w:rFonts w:asciiTheme="majorHAnsi" w:hAnsiTheme="majorHAnsi"/>
              </w:rPr>
              <w:t>30.06.2023</w:t>
            </w:r>
          </w:p>
        </w:tc>
        <w:tc>
          <w:tcPr>
            <w:tcW w:w="1777" w:type="dxa"/>
            <w:tcBorders>
              <w:top w:val="single" w:sz="4" w:space="0" w:color="auto"/>
              <w:left w:val="single" w:sz="4" w:space="0" w:color="auto"/>
              <w:bottom w:val="single" w:sz="4" w:space="0" w:color="auto"/>
              <w:right w:val="single" w:sz="4" w:space="0" w:color="auto"/>
            </w:tcBorders>
            <w:noWrap/>
          </w:tcPr>
          <w:p w14:paraId="4F375625" w14:textId="327433A0" w:rsidR="00AE3434" w:rsidRPr="00C97AD6" w:rsidRDefault="00AE3434" w:rsidP="00AE3434">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 w:val="0"/>
                <w:bCs w:val="0"/>
              </w:rPr>
            </w:pPr>
            <w:r w:rsidRPr="00C97AD6">
              <w:rPr>
                <w:rFonts w:asciiTheme="majorHAnsi" w:hAnsiTheme="majorHAnsi"/>
              </w:rPr>
              <w:t>30.06.2022</w:t>
            </w:r>
          </w:p>
        </w:tc>
      </w:tr>
      <w:tr w:rsidR="00AE3434" w:rsidRPr="00C97AD6" w14:paraId="7EE83303" w14:textId="3D214828" w:rsidTr="00C97AD6">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4565" w:type="dxa"/>
            <w:tcBorders>
              <w:top w:val="single" w:sz="4" w:space="0" w:color="auto"/>
              <w:left w:val="single" w:sz="4" w:space="0" w:color="auto"/>
              <w:bottom w:val="single" w:sz="4" w:space="0" w:color="auto"/>
              <w:right w:val="single" w:sz="4" w:space="0" w:color="auto"/>
            </w:tcBorders>
            <w:shd w:val="clear" w:color="auto" w:fill="auto"/>
            <w:noWrap/>
            <w:hideMark/>
          </w:tcPr>
          <w:p w14:paraId="62DFF0E3" w14:textId="00DED1AC" w:rsidR="00AE3434" w:rsidRPr="00C97AD6" w:rsidRDefault="00AE3434" w:rsidP="00AE3434">
            <w:pPr>
              <w:rPr>
                <w:rFonts w:asciiTheme="majorHAnsi" w:eastAsia="Times New Roman" w:hAnsiTheme="majorHAnsi" w:cs="Times New Roman"/>
                <w:b w:val="0"/>
                <w:bCs w:val="0"/>
                <w:color w:val="000000"/>
              </w:rPr>
            </w:pPr>
            <w:r w:rsidRPr="00C97AD6">
              <w:rPr>
                <w:rFonts w:asciiTheme="majorHAnsi" w:hAnsiTheme="majorHAnsi"/>
                <w:b w:val="0"/>
                <w:bCs w:val="0"/>
              </w:rPr>
              <w:t>Troškovi kancelarijskog i režijskog materijala</w:t>
            </w:r>
          </w:p>
        </w:tc>
        <w:tc>
          <w:tcPr>
            <w:tcW w:w="2072" w:type="dxa"/>
            <w:gridSpan w:val="2"/>
            <w:tcBorders>
              <w:top w:val="single" w:sz="4" w:space="0" w:color="auto"/>
              <w:left w:val="single" w:sz="4" w:space="0" w:color="auto"/>
              <w:bottom w:val="single" w:sz="4" w:space="0" w:color="auto"/>
              <w:right w:val="single" w:sz="4" w:space="0" w:color="auto"/>
            </w:tcBorders>
            <w:shd w:val="clear" w:color="auto" w:fill="auto"/>
            <w:noWrap/>
          </w:tcPr>
          <w:p w14:paraId="44291CC4" w14:textId="03AEDFE9" w:rsidR="00AE3434" w:rsidRPr="00C97AD6" w:rsidRDefault="00C97AD6" w:rsidP="00AE3434">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rPr>
            </w:pPr>
            <w:r>
              <w:rPr>
                <w:rFonts w:asciiTheme="majorHAnsi" w:eastAsia="Times New Roman" w:hAnsiTheme="majorHAnsi" w:cs="Times New Roman"/>
              </w:rPr>
              <w:t>391</w:t>
            </w:r>
          </w:p>
        </w:tc>
        <w:tc>
          <w:tcPr>
            <w:tcW w:w="1777" w:type="dxa"/>
            <w:tcBorders>
              <w:top w:val="single" w:sz="4" w:space="0" w:color="auto"/>
              <w:left w:val="single" w:sz="4" w:space="0" w:color="auto"/>
              <w:bottom w:val="single" w:sz="4" w:space="0" w:color="auto"/>
              <w:right w:val="single" w:sz="4" w:space="0" w:color="auto"/>
            </w:tcBorders>
            <w:shd w:val="clear" w:color="auto" w:fill="auto"/>
            <w:noWrap/>
          </w:tcPr>
          <w:p w14:paraId="78415F0B" w14:textId="605203B9" w:rsidR="00AE3434" w:rsidRPr="00C97AD6" w:rsidRDefault="00AE3434" w:rsidP="00AE3434">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sr-Cyrl-BA"/>
              </w:rPr>
            </w:pPr>
            <w:r w:rsidRPr="00C97AD6">
              <w:rPr>
                <w:rFonts w:asciiTheme="majorHAnsi" w:hAnsiTheme="majorHAnsi"/>
              </w:rPr>
              <w:t>721</w:t>
            </w:r>
          </w:p>
        </w:tc>
      </w:tr>
      <w:tr w:rsidR="00AE3434" w:rsidRPr="00C97AD6" w14:paraId="057EB5F9" w14:textId="072A643B" w:rsidTr="00C97AD6">
        <w:trPr>
          <w:trHeight w:val="309"/>
        </w:trPr>
        <w:tc>
          <w:tcPr>
            <w:cnfStyle w:val="001000000000" w:firstRow="0" w:lastRow="0" w:firstColumn="1" w:lastColumn="0" w:oddVBand="0" w:evenVBand="0" w:oddHBand="0" w:evenHBand="0" w:firstRowFirstColumn="0" w:firstRowLastColumn="0" w:lastRowFirstColumn="0" w:lastRowLastColumn="0"/>
            <w:tcW w:w="4565" w:type="dxa"/>
            <w:tcBorders>
              <w:top w:val="single" w:sz="4" w:space="0" w:color="auto"/>
              <w:left w:val="single" w:sz="4" w:space="0" w:color="auto"/>
              <w:bottom w:val="single" w:sz="4" w:space="0" w:color="auto"/>
              <w:right w:val="single" w:sz="4" w:space="0" w:color="auto"/>
            </w:tcBorders>
            <w:shd w:val="clear" w:color="auto" w:fill="auto"/>
            <w:noWrap/>
            <w:hideMark/>
          </w:tcPr>
          <w:p w14:paraId="2CF9EA69" w14:textId="0E8469C7" w:rsidR="00AE3434" w:rsidRPr="00C97AD6" w:rsidRDefault="00AE3434" w:rsidP="00AE3434">
            <w:pPr>
              <w:rPr>
                <w:rFonts w:asciiTheme="majorHAnsi" w:eastAsia="Times New Roman" w:hAnsiTheme="majorHAnsi" w:cs="Times New Roman"/>
                <w:b w:val="0"/>
                <w:bCs w:val="0"/>
                <w:color w:val="000000"/>
              </w:rPr>
            </w:pPr>
            <w:r w:rsidRPr="00C97AD6">
              <w:rPr>
                <w:rFonts w:asciiTheme="majorHAnsi" w:hAnsiTheme="majorHAnsi"/>
                <w:b w:val="0"/>
                <w:bCs w:val="0"/>
              </w:rPr>
              <w:t>Troškovi elektro energije</w:t>
            </w:r>
          </w:p>
        </w:tc>
        <w:tc>
          <w:tcPr>
            <w:tcW w:w="2072" w:type="dxa"/>
            <w:gridSpan w:val="2"/>
            <w:tcBorders>
              <w:top w:val="single" w:sz="4" w:space="0" w:color="auto"/>
              <w:left w:val="single" w:sz="4" w:space="0" w:color="auto"/>
              <w:bottom w:val="single" w:sz="4" w:space="0" w:color="auto"/>
              <w:right w:val="single" w:sz="4" w:space="0" w:color="auto"/>
            </w:tcBorders>
            <w:shd w:val="clear" w:color="auto" w:fill="auto"/>
            <w:noWrap/>
          </w:tcPr>
          <w:p w14:paraId="0AA27C6A" w14:textId="59A6365D" w:rsidR="00AE3434" w:rsidRPr="00C97AD6" w:rsidRDefault="00C97AD6" w:rsidP="00AE3434">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rPr>
            </w:pPr>
            <w:r>
              <w:rPr>
                <w:rFonts w:asciiTheme="majorHAnsi" w:eastAsia="Times New Roman" w:hAnsiTheme="majorHAnsi" w:cs="Times New Roman"/>
              </w:rPr>
              <w:t>1.682</w:t>
            </w:r>
          </w:p>
        </w:tc>
        <w:tc>
          <w:tcPr>
            <w:tcW w:w="1777" w:type="dxa"/>
            <w:tcBorders>
              <w:top w:val="single" w:sz="4" w:space="0" w:color="auto"/>
              <w:left w:val="single" w:sz="4" w:space="0" w:color="auto"/>
              <w:bottom w:val="single" w:sz="4" w:space="0" w:color="auto"/>
              <w:right w:val="single" w:sz="4" w:space="0" w:color="auto"/>
            </w:tcBorders>
            <w:shd w:val="clear" w:color="auto" w:fill="auto"/>
            <w:noWrap/>
          </w:tcPr>
          <w:p w14:paraId="168B9FD0" w14:textId="6B2D5E04" w:rsidR="00AE3434" w:rsidRPr="00C97AD6" w:rsidRDefault="00AE3434" w:rsidP="00AE3434">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sr-Cyrl-BA"/>
              </w:rPr>
            </w:pPr>
            <w:r w:rsidRPr="00C97AD6">
              <w:rPr>
                <w:rFonts w:asciiTheme="majorHAnsi" w:hAnsiTheme="majorHAnsi"/>
              </w:rPr>
              <w:t>2.983</w:t>
            </w:r>
          </w:p>
        </w:tc>
      </w:tr>
      <w:tr w:rsidR="00AE3434" w:rsidRPr="00C97AD6" w14:paraId="29486704" w14:textId="2AFA9512" w:rsidTr="00C97AD6">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4565" w:type="dxa"/>
            <w:tcBorders>
              <w:top w:val="single" w:sz="4" w:space="0" w:color="auto"/>
              <w:left w:val="single" w:sz="4" w:space="0" w:color="auto"/>
              <w:bottom w:val="single" w:sz="4" w:space="0" w:color="auto"/>
              <w:right w:val="single" w:sz="4" w:space="0" w:color="auto"/>
            </w:tcBorders>
            <w:shd w:val="clear" w:color="auto" w:fill="auto"/>
            <w:noWrap/>
            <w:hideMark/>
          </w:tcPr>
          <w:p w14:paraId="6917C8E7" w14:textId="7C30E85A" w:rsidR="00AE3434" w:rsidRPr="00C97AD6" w:rsidRDefault="00AE3434" w:rsidP="00AE3434">
            <w:pPr>
              <w:rPr>
                <w:rFonts w:asciiTheme="majorHAnsi" w:eastAsia="Times New Roman" w:hAnsiTheme="majorHAnsi" w:cs="Times New Roman"/>
                <w:b w:val="0"/>
                <w:bCs w:val="0"/>
                <w:color w:val="000000"/>
              </w:rPr>
            </w:pPr>
            <w:r w:rsidRPr="00C97AD6">
              <w:rPr>
                <w:rFonts w:asciiTheme="majorHAnsi" w:hAnsiTheme="majorHAnsi"/>
                <w:b w:val="0"/>
                <w:bCs w:val="0"/>
              </w:rPr>
              <w:t>Troškovi goriva</w:t>
            </w:r>
          </w:p>
        </w:tc>
        <w:tc>
          <w:tcPr>
            <w:tcW w:w="2072" w:type="dxa"/>
            <w:gridSpan w:val="2"/>
            <w:tcBorders>
              <w:top w:val="single" w:sz="4" w:space="0" w:color="auto"/>
              <w:left w:val="single" w:sz="4" w:space="0" w:color="auto"/>
              <w:bottom w:val="single" w:sz="4" w:space="0" w:color="auto"/>
              <w:right w:val="single" w:sz="4" w:space="0" w:color="auto"/>
            </w:tcBorders>
            <w:shd w:val="clear" w:color="auto" w:fill="auto"/>
            <w:noWrap/>
          </w:tcPr>
          <w:p w14:paraId="50832FA4" w14:textId="69A4282D" w:rsidR="00AE3434" w:rsidRPr="00C97AD6" w:rsidRDefault="00C97AD6" w:rsidP="00AE3434">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rPr>
            </w:pPr>
            <w:r>
              <w:rPr>
                <w:rFonts w:asciiTheme="majorHAnsi" w:eastAsia="Times New Roman" w:hAnsiTheme="majorHAnsi" w:cs="Times New Roman"/>
              </w:rPr>
              <w:t>1.029</w:t>
            </w:r>
          </w:p>
        </w:tc>
        <w:tc>
          <w:tcPr>
            <w:tcW w:w="1777" w:type="dxa"/>
            <w:tcBorders>
              <w:top w:val="single" w:sz="4" w:space="0" w:color="auto"/>
              <w:left w:val="single" w:sz="4" w:space="0" w:color="auto"/>
              <w:bottom w:val="single" w:sz="4" w:space="0" w:color="auto"/>
              <w:right w:val="single" w:sz="4" w:space="0" w:color="auto"/>
            </w:tcBorders>
            <w:shd w:val="clear" w:color="auto" w:fill="auto"/>
            <w:noWrap/>
          </w:tcPr>
          <w:p w14:paraId="53C78BBB" w14:textId="394D532A" w:rsidR="00AE3434" w:rsidRPr="00C97AD6" w:rsidRDefault="00AE3434" w:rsidP="00AE3434">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sr-Cyrl-BA"/>
              </w:rPr>
            </w:pPr>
            <w:r w:rsidRPr="00C97AD6">
              <w:rPr>
                <w:rFonts w:asciiTheme="majorHAnsi" w:hAnsiTheme="majorHAnsi"/>
              </w:rPr>
              <w:t>998</w:t>
            </w:r>
          </w:p>
        </w:tc>
      </w:tr>
      <w:tr w:rsidR="00AE3434" w:rsidRPr="00C97AD6" w14:paraId="1767E2F0" w14:textId="25C83F23" w:rsidTr="00C97AD6">
        <w:trPr>
          <w:trHeight w:val="309"/>
        </w:trPr>
        <w:tc>
          <w:tcPr>
            <w:cnfStyle w:val="001000000000" w:firstRow="0" w:lastRow="0" w:firstColumn="1" w:lastColumn="0" w:oddVBand="0" w:evenVBand="0" w:oddHBand="0" w:evenHBand="0" w:firstRowFirstColumn="0" w:firstRowLastColumn="0" w:lastRowFirstColumn="0" w:lastRowLastColumn="0"/>
            <w:tcW w:w="4565" w:type="dxa"/>
            <w:tcBorders>
              <w:top w:val="single" w:sz="4" w:space="0" w:color="auto"/>
              <w:left w:val="single" w:sz="4" w:space="0" w:color="auto"/>
              <w:bottom w:val="single" w:sz="4" w:space="0" w:color="auto"/>
              <w:right w:val="single" w:sz="4" w:space="0" w:color="auto"/>
            </w:tcBorders>
            <w:shd w:val="clear" w:color="auto" w:fill="auto"/>
            <w:noWrap/>
            <w:hideMark/>
          </w:tcPr>
          <w:p w14:paraId="59A4D560" w14:textId="118225A3" w:rsidR="00AE3434" w:rsidRPr="00C97AD6" w:rsidRDefault="00AE3434" w:rsidP="00AE3434">
            <w:pPr>
              <w:rPr>
                <w:rFonts w:asciiTheme="majorHAnsi" w:eastAsia="Times New Roman" w:hAnsiTheme="majorHAnsi" w:cs="Times New Roman"/>
                <w:b w:val="0"/>
                <w:bCs w:val="0"/>
                <w:color w:val="000000"/>
              </w:rPr>
            </w:pPr>
            <w:r w:rsidRPr="00C97AD6">
              <w:rPr>
                <w:rFonts w:asciiTheme="majorHAnsi" w:hAnsiTheme="majorHAnsi"/>
                <w:b w:val="0"/>
                <w:bCs w:val="0"/>
              </w:rPr>
              <w:t>Troškovi vode</w:t>
            </w:r>
          </w:p>
        </w:tc>
        <w:tc>
          <w:tcPr>
            <w:tcW w:w="2072" w:type="dxa"/>
            <w:gridSpan w:val="2"/>
            <w:tcBorders>
              <w:top w:val="single" w:sz="4" w:space="0" w:color="auto"/>
              <w:left w:val="single" w:sz="4" w:space="0" w:color="auto"/>
              <w:bottom w:val="single" w:sz="4" w:space="0" w:color="auto"/>
              <w:right w:val="single" w:sz="4" w:space="0" w:color="auto"/>
            </w:tcBorders>
            <w:shd w:val="clear" w:color="auto" w:fill="auto"/>
            <w:noWrap/>
          </w:tcPr>
          <w:p w14:paraId="239AA44F" w14:textId="590C55EC" w:rsidR="00AE3434" w:rsidRPr="00C97AD6" w:rsidRDefault="00C97AD6" w:rsidP="00AE3434">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rPr>
            </w:pPr>
            <w:r>
              <w:rPr>
                <w:rFonts w:asciiTheme="majorHAnsi" w:eastAsia="Times New Roman" w:hAnsiTheme="majorHAnsi" w:cs="Times New Roman"/>
              </w:rPr>
              <w:t>130</w:t>
            </w:r>
          </w:p>
        </w:tc>
        <w:tc>
          <w:tcPr>
            <w:tcW w:w="1777" w:type="dxa"/>
            <w:tcBorders>
              <w:top w:val="single" w:sz="4" w:space="0" w:color="auto"/>
              <w:left w:val="single" w:sz="4" w:space="0" w:color="auto"/>
              <w:bottom w:val="single" w:sz="4" w:space="0" w:color="auto"/>
              <w:right w:val="single" w:sz="4" w:space="0" w:color="auto"/>
            </w:tcBorders>
            <w:shd w:val="clear" w:color="auto" w:fill="auto"/>
            <w:noWrap/>
          </w:tcPr>
          <w:p w14:paraId="7E9E3BC5" w14:textId="4691EE82" w:rsidR="00AE3434" w:rsidRPr="00C97AD6" w:rsidRDefault="00AE3434" w:rsidP="00AE3434">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sr-Cyrl-BA"/>
              </w:rPr>
            </w:pPr>
            <w:r w:rsidRPr="00C97AD6">
              <w:rPr>
                <w:rFonts w:asciiTheme="majorHAnsi" w:hAnsiTheme="majorHAnsi"/>
              </w:rPr>
              <w:t>103</w:t>
            </w:r>
          </w:p>
        </w:tc>
      </w:tr>
      <w:tr w:rsidR="00AE3434" w:rsidRPr="00C97AD6" w14:paraId="5C927CE9" w14:textId="20F5F44A" w:rsidTr="00C97AD6">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4565" w:type="dxa"/>
            <w:tcBorders>
              <w:top w:val="single" w:sz="4" w:space="0" w:color="auto"/>
              <w:left w:val="single" w:sz="4" w:space="0" w:color="auto"/>
              <w:bottom w:val="single" w:sz="4" w:space="0" w:color="auto"/>
              <w:right w:val="single" w:sz="4" w:space="0" w:color="auto"/>
            </w:tcBorders>
            <w:shd w:val="clear" w:color="auto" w:fill="auto"/>
            <w:noWrap/>
            <w:hideMark/>
          </w:tcPr>
          <w:p w14:paraId="0779DA19" w14:textId="467657EA" w:rsidR="00AE3434" w:rsidRPr="00C97AD6" w:rsidRDefault="00AE3434" w:rsidP="00AE3434">
            <w:pPr>
              <w:rPr>
                <w:rFonts w:asciiTheme="majorHAnsi" w:eastAsia="Times New Roman" w:hAnsiTheme="majorHAnsi" w:cs="Times New Roman"/>
                <w:color w:val="000000"/>
              </w:rPr>
            </w:pPr>
            <w:r w:rsidRPr="00C97AD6">
              <w:rPr>
                <w:rFonts w:asciiTheme="majorHAnsi" w:hAnsiTheme="majorHAnsi"/>
              </w:rPr>
              <w:t>UKUPNO:</w:t>
            </w:r>
          </w:p>
        </w:tc>
        <w:tc>
          <w:tcPr>
            <w:tcW w:w="2072" w:type="dxa"/>
            <w:gridSpan w:val="2"/>
            <w:tcBorders>
              <w:top w:val="single" w:sz="4" w:space="0" w:color="auto"/>
              <w:left w:val="single" w:sz="4" w:space="0" w:color="auto"/>
              <w:bottom w:val="single" w:sz="4" w:space="0" w:color="auto"/>
              <w:right w:val="single" w:sz="4" w:space="0" w:color="auto"/>
            </w:tcBorders>
            <w:shd w:val="clear" w:color="auto" w:fill="auto"/>
            <w:noWrap/>
          </w:tcPr>
          <w:p w14:paraId="68B09A71" w14:textId="325E6061" w:rsidR="00AE3434" w:rsidRPr="00C97AD6" w:rsidRDefault="00C97AD6" w:rsidP="00AE3434">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b/>
                <w:bCs/>
              </w:rPr>
            </w:pPr>
            <w:r>
              <w:rPr>
                <w:rFonts w:asciiTheme="majorHAnsi" w:eastAsia="Times New Roman" w:hAnsiTheme="majorHAnsi" w:cs="Times New Roman"/>
                <w:b/>
                <w:bCs/>
              </w:rPr>
              <w:t>3.232</w:t>
            </w:r>
          </w:p>
        </w:tc>
        <w:tc>
          <w:tcPr>
            <w:tcW w:w="1777" w:type="dxa"/>
            <w:tcBorders>
              <w:top w:val="single" w:sz="4" w:space="0" w:color="auto"/>
              <w:left w:val="single" w:sz="4" w:space="0" w:color="auto"/>
              <w:bottom w:val="single" w:sz="4" w:space="0" w:color="auto"/>
              <w:right w:val="single" w:sz="4" w:space="0" w:color="auto"/>
            </w:tcBorders>
            <w:shd w:val="clear" w:color="auto" w:fill="auto"/>
            <w:noWrap/>
          </w:tcPr>
          <w:p w14:paraId="5A21C514" w14:textId="79DB7B2A" w:rsidR="00AE3434" w:rsidRPr="00C97AD6" w:rsidRDefault="00AE3434" w:rsidP="00AE3434">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b/>
                <w:bCs/>
                <w:lang w:val="sr-Latn-BA"/>
              </w:rPr>
            </w:pPr>
            <w:r w:rsidRPr="00C97AD6">
              <w:rPr>
                <w:rFonts w:asciiTheme="majorHAnsi" w:hAnsiTheme="majorHAnsi"/>
                <w:b/>
                <w:bCs/>
              </w:rPr>
              <w:t>4.805</w:t>
            </w:r>
          </w:p>
        </w:tc>
      </w:tr>
      <w:tr w:rsidR="000743A1" w:rsidRPr="00C97AD6" w14:paraId="7BE9B701" w14:textId="77777777" w:rsidTr="00C97AD6">
        <w:trPr>
          <w:trHeight w:val="309"/>
        </w:trPr>
        <w:tc>
          <w:tcPr>
            <w:cnfStyle w:val="001000000000" w:firstRow="0" w:lastRow="0" w:firstColumn="1" w:lastColumn="0" w:oddVBand="0" w:evenVBand="0" w:oddHBand="0" w:evenHBand="0" w:firstRowFirstColumn="0" w:firstRowLastColumn="0" w:lastRowFirstColumn="0" w:lastRowLastColumn="0"/>
            <w:tcW w:w="4565" w:type="dxa"/>
            <w:tcBorders>
              <w:top w:val="single" w:sz="4" w:space="0" w:color="auto"/>
              <w:left w:val="nil"/>
              <w:bottom w:val="single" w:sz="4" w:space="0" w:color="auto"/>
              <w:right w:val="nil"/>
            </w:tcBorders>
            <w:shd w:val="clear" w:color="auto" w:fill="auto"/>
            <w:noWrap/>
          </w:tcPr>
          <w:p w14:paraId="27C7CD77" w14:textId="77777777" w:rsidR="000743A1" w:rsidRPr="00C97AD6" w:rsidRDefault="000743A1" w:rsidP="001918BE">
            <w:pPr>
              <w:rPr>
                <w:rFonts w:asciiTheme="majorHAnsi" w:hAnsiTheme="majorHAnsi" w:cs="Times New Roman"/>
                <w:i/>
                <w:iCs/>
              </w:rPr>
            </w:pPr>
          </w:p>
        </w:tc>
        <w:tc>
          <w:tcPr>
            <w:tcW w:w="2072" w:type="dxa"/>
            <w:gridSpan w:val="2"/>
            <w:tcBorders>
              <w:top w:val="single" w:sz="4" w:space="0" w:color="auto"/>
              <w:left w:val="nil"/>
              <w:bottom w:val="single" w:sz="4" w:space="0" w:color="auto"/>
              <w:right w:val="nil"/>
            </w:tcBorders>
            <w:shd w:val="clear" w:color="auto" w:fill="auto"/>
            <w:noWrap/>
          </w:tcPr>
          <w:p w14:paraId="3722072D" w14:textId="77777777" w:rsidR="000743A1" w:rsidRPr="00C97AD6" w:rsidRDefault="000743A1" w:rsidP="001918BE">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b/>
                <w:bCs/>
              </w:rPr>
            </w:pPr>
          </w:p>
        </w:tc>
        <w:tc>
          <w:tcPr>
            <w:tcW w:w="1777" w:type="dxa"/>
            <w:tcBorders>
              <w:top w:val="single" w:sz="4" w:space="0" w:color="auto"/>
              <w:left w:val="nil"/>
              <w:bottom w:val="single" w:sz="4" w:space="0" w:color="auto"/>
              <w:right w:val="nil"/>
            </w:tcBorders>
            <w:shd w:val="clear" w:color="auto" w:fill="auto"/>
            <w:noWrap/>
          </w:tcPr>
          <w:p w14:paraId="2F7A24FC" w14:textId="77777777" w:rsidR="000743A1" w:rsidRPr="00C97AD6" w:rsidRDefault="000743A1" w:rsidP="001918BE">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b/>
                <w:bCs/>
                <w:lang w:val="sr-Cyrl-BA"/>
              </w:rPr>
            </w:pPr>
          </w:p>
        </w:tc>
      </w:tr>
      <w:tr w:rsidR="00AE3434" w:rsidRPr="00C97AD6" w14:paraId="358776D2" w14:textId="77777777" w:rsidTr="00C97AD6">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4565" w:type="dxa"/>
            <w:tcBorders>
              <w:top w:val="single" w:sz="4" w:space="0" w:color="auto"/>
            </w:tcBorders>
            <w:shd w:val="clear" w:color="auto" w:fill="auto"/>
            <w:noWrap/>
          </w:tcPr>
          <w:p w14:paraId="444B7DC4" w14:textId="00E5BB00" w:rsidR="00AE3434" w:rsidRPr="00C97AD6" w:rsidRDefault="00AE3434" w:rsidP="00AE3434">
            <w:pPr>
              <w:jc w:val="center"/>
              <w:rPr>
                <w:rFonts w:asciiTheme="majorHAnsi" w:eastAsia="Times New Roman" w:hAnsiTheme="majorHAnsi" w:cs="Times New Roman"/>
                <w:color w:val="000000"/>
              </w:rPr>
            </w:pPr>
            <w:r w:rsidRPr="00C97AD6">
              <w:rPr>
                <w:rFonts w:asciiTheme="majorHAnsi" w:hAnsiTheme="majorHAnsi"/>
              </w:rPr>
              <w:t>Opis</w:t>
            </w:r>
          </w:p>
        </w:tc>
        <w:tc>
          <w:tcPr>
            <w:tcW w:w="2027" w:type="dxa"/>
            <w:tcBorders>
              <w:top w:val="single" w:sz="4" w:space="0" w:color="auto"/>
            </w:tcBorders>
            <w:shd w:val="clear" w:color="auto" w:fill="auto"/>
            <w:noWrap/>
          </w:tcPr>
          <w:p w14:paraId="1F249C5A" w14:textId="16210511" w:rsidR="00AE3434" w:rsidRPr="00C97AD6" w:rsidRDefault="00AE3434" w:rsidP="00AE3434">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b/>
                <w:bCs/>
              </w:rPr>
            </w:pPr>
            <w:r w:rsidRPr="00C97AD6">
              <w:rPr>
                <w:rFonts w:asciiTheme="majorHAnsi" w:hAnsiTheme="majorHAnsi"/>
                <w:b/>
                <w:bCs/>
              </w:rPr>
              <w:t>30.06.2023</w:t>
            </w:r>
          </w:p>
        </w:tc>
        <w:tc>
          <w:tcPr>
            <w:tcW w:w="1822" w:type="dxa"/>
            <w:gridSpan w:val="2"/>
            <w:tcBorders>
              <w:top w:val="single" w:sz="4" w:space="0" w:color="auto"/>
            </w:tcBorders>
            <w:shd w:val="clear" w:color="auto" w:fill="auto"/>
            <w:noWrap/>
          </w:tcPr>
          <w:p w14:paraId="5A8EDB7F" w14:textId="2FEC5902" w:rsidR="00AE3434" w:rsidRPr="00C97AD6" w:rsidRDefault="00AE3434" w:rsidP="00AE3434">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b/>
                <w:bCs/>
              </w:rPr>
            </w:pPr>
            <w:r w:rsidRPr="00C97AD6">
              <w:rPr>
                <w:rFonts w:asciiTheme="majorHAnsi" w:hAnsiTheme="majorHAnsi"/>
                <w:b/>
                <w:bCs/>
              </w:rPr>
              <w:t>30.06.2022</w:t>
            </w:r>
          </w:p>
        </w:tc>
      </w:tr>
      <w:tr w:rsidR="00AE3434" w:rsidRPr="00C97AD6" w14:paraId="7EEF3A56" w14:textId="4618F390" w:rsidTr="00C97AD6">
        <w:trPr>
          <w:trHeight w:val="309"/>
        </w:trPr>
        <w:tc>
          <w:tcPr>
            <w:cnfStyle w:val="001000000000" w:firstRow="0" w:lastRow="0" w:firstColumn="1" w:lastColumn="0" w:oddVBand="0" w:evenVBand="0" w:oddHBand="0" w:evenHBand="0" w:firstRowFirstColumn="0" w:firstRowLastColumn="0" w:lastRowFirstColumn="0" w:lastRowLastColumn="0"/>
            <w:tcW w:w="4565" w:type="dxa"/>
            <w:shd w:val="clear" w:color="auto" w:fill="auto"/>
            <w:noWrap/>
            <w:hideMark/>
          </w:tcPr>
          <w:p w14:paraId="3F92E0C7" w14:textId="65CB3670" w:rsidR="00AE3434" w:rsidRPr="004228E1" w:rsidRDefault="00AE3434" w:rsidP="00AE3434">
            <w:pPr>
              <w:rPr>
                <w:rFonts w:asciiTheme="majorHAnsi" w:eastAsia="Times New Roman" w:hAnsiTheme="majorHAnsi" w:cs="Times New Roman"/>
                <w:b w:val="0"/>
                <w:bCs w:val="0"/>
                <w:color w:val="000000"/>
                <w:highlight w:val="yellow"/>
                <w:lang w:val="sr-Latn-BA"/>
              </w:rPr>
            </w:pPr>
            <w:r w:rsidRPr="00C97AD6">
              <w:rPr>
                <w:rFonts w:asciiTheme="majorHAnsi" w:hAnsiTheme="majorHAnsi"/>
                <w:b w:val="0"/>
                <w:bCs w:val="0"/>
              </w:rPr>
              <w:t>Troškovi bruto zarada</w:t>
            </w:r>
            <w:r w:rsidR="004228E1">
              <w:rPr>
                <w:rFonts w:asciiTheme="majorHAnsi" w:hAnsiTheme="majorHAnsi"/>
                <w:b w:val="0"/>
                <w:bCs w:val="0"/>
                <w:lang w:val="sr-Cyrl-BA"/>
              </w:rPr>
              <w:t xml:space="preserve"> </w:t>
            </w:r>
          </w:p>
        </w:tc>
        <w:tc>
          <w:tcPr>
            <w:tcW w:w="2027" w:type="dxa"/>
            <w:shd w:val="clear" w:color="auto" w:fill="auto"/>
            <w:noWrap/>
          </w:tcPr>
          <w:p w14:paraId="00C61534" w14:textId="06F03875" w:rsidR="00AE3434" w:rsidRPr="00C97AD6" w:rsidRDefault="00105DB0" w:rsidP="00AE3434">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highlight w:val="yellow"/>
              </w:rPr>
            </w:pPr>
            <w:r w:rsidRPr="00105DB0">
              <w:rPr>
                <w:rFonts w:asciiTheme="majorHAnsi" w:eastAsia="Times New Roman" w:hAnsiTheme="majorHAnsi" w:cs="Times New Roman"/>
              </w:rPr>
              <w:t>11</w:t>
            </w:r>
            <w:r w:rsidR="004228E1">
              <w:rPr>
                <w:rFonts w:asciiTheme="majorHAnsi" w:eastAsia="Times New Roman" w:hAnsiTheme="majorHAnsi" w:cs="Times New Roman"/>
              </w:rPr>
              <w:t>2</w:t>
            </w:r>
            <w:r w:rsidRPr="00105DB0">
              <w:rPr>
                <w:rFonts w:asciiTheme="majorHAnsi" w:eastAsia="Times New Roman" w:hAnsiTheme="majorHAnsi" w:cs="Times New Roman"/>
              </w:rPr>
              <w:t>.95</w:t>
            </w:r>
            <w:r w:rsidR="004228E1">
              <w:rPr>
                <w:rFonts w:asciiTheme="majorHAnsi" w:eastAsia="Times New Roman" w:hAnsiTheme="majorHAnsi" w:cs="Times New Roman"/>
              </w:rPr>
              <w:t>6</w:t>
            </w:r>
          </w:p>
        </w:tc>
        <w:tc>
          <w:tcPr>
            <w:tcW w:w="1822" w:type="dxa"/>
            <w:gridSpan w:val="2"/>
            <w:shd w:val="clear" w:color="auto" w:fill="auto"/>
            <w:noWrap/>
          </w:tcPr>
          <w:p w14:paraId="4A281660" w14:textId="655EB7AB" w:rsidR="00AE3434" w:rsidRPr="00C97AD6" w:rsidRDefault="00AE3434" w:rsidP="00AE3434">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sr-Cyrl-BA"/>
              </w:rPr>
            </w:pPr>
            <w:r w:rsidRPr="00C97AD6">
              <w:rPr>
                <w:rFonts w:asciiTheme="majorHAnsi" w:hAnsiTheme="majorHAnsi"/>
              </w:rPr>
              <w:t>101.940</w:t>
            </w:r>
          </w:p>
        </w:tc>
      </w:tr>
      <w:tr w:rsidR="004228E1" w:rsidRPr="00C97AD6" w14:paraId="10A76D10" w14:textId="572DF096" w:rsidTr="00C97AD6">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4565" w:type="dxa"/>
            <w:shd w:val="clear" w:color="auto" w:fill="auto"/>
            <w:noWrap/>
            <w:hideMark/>
          </w:tcPr>
          <w:p w14:paraId="3A9DFC43" w14:textId="52333216" w:rsidR="004228E1" w:rsidRPr="004228E1" w:rsidRDefault="004228E1" w:rsidP="004228E1">
            <w:pPr>
              <w:rPr>
                <w:rFonts w:ascii="Cambria" w:eastAsia="Times New Roman" w:hAnsi="Cambria" w:cs="Times New Roman"/>
                <w:b w:val="0"/>
                <w:bCs w:val="0"/>
                <w:color w:val="000000"/>
              </w:rPr>
            </w:pPr>
            <w:r w:rsidRPr="004228E1">
              <w:rPr>
                <w:rFonts w:ascii="Cambria" w:hAnsi="Cambria"/>
                <w:b w:val="0"/>
                <w:bCs w:val="0"/>
              </w:rPr>
              <w:t>Troškovi bruto naknada UO DUIF Polara Invest</w:t>
            </w:r>
          </w:p>
        </w:tc>
        <w:tc>
          <w:tcPr>
            <w:tcW w:w="2027" w:type="dxa"/>
            <w:shd w:val="clear" w:color="auto" w:fill="auto"/>
            <w:noWrap/>
          </w:tcPr>
          <w:p w14:paraId="59E37C77" w14:textId="7C05D4A1" w:rsidR="004228E1" w:rsidRPr="004228E1" w:rsidRDefault="004228E1" w:rsidP="004228E1">
            <w:pPr>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sr-Cyrl-BA"/>
              </w:rPr>
            </w:pPr>
            <w:r w:rsidRPr="004228E1">
              <w:rPr>
                <w:rFonts w:ascii="Cambria" w:hAnsi="Cambria"/>
              </w:rPr>
              <w:t>5.997</w:t>
            </w:r>
          </w:p>
        </w:tc>
        <w:tc>
          <w:tcPr>
            <w:tcW w:w="1822" w:type="dxa"/>
            <w:gridSpan w:val="2"/>
            <w:shd w:val="clear" w:color="auto" w:fill="auto"/>
            <w:noWrap/>
          </w:tcPr>
          <w:p w14:paraId="072AD12D" w14:textId="55B79DD2" w:rsidR="004228E1" w:rsidRPr="004228E1" w:rsidRDefault="004228E1" w:rsidP="004228E1">
            <w:pPr>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sr-Cyrl-BA"/>
              </w:rPr>
            </w:pPr>
            <w:r w:rsidRPr="004228E1">
              <w:rPr>
                <w:rFonts w:ascii="Cambria" w:hAnsi="Cambria"/>
              </w:rPr>
              <w:t>6.020</w:t>
            </w:r>
          </w:p>
        </w:tc>
      </w:tr>
      <w:tr w:rsidR="004228E1" w:rsidRPr="00C97AD6" w14:paraId="075F8D13" w14:textId="23B3D687" w:rsidTr="004228E1">
        <w:trPr>
          <w:trHeight w:val="309"/>
        </w:trPr>
        <w:tc>
          <w:tcPr>
            <w:cnfStyle w:val="001000000000" w:firstRow="0" w:lastRow="0" w:firstColumn="1" w:lastColumn="0" w:oddVBand="0" w:evenVBand="0" w:oddHBand="0" w:evenHBand="0" w:firstRowFirstColumn="0" w:firstRowLastColumn="0" w:lastRowFirstColumn="0" w:lastRowLastColumn="0"/>
            <w:tcW w:w="4565" w:type="dxa"/>
            <w:shd w:val="clear" w:color="auto" w:fill="auto"/>
            <w:noWrap/>
          </w:tcPr>
          <w:p w14:paraId="020FBDC2" w14:textId="3C7B5B3B" w:rsidR="004228E1" w:rsidRPr="004228E1" w:rsidRDefault="004228E1" w:rsidP="004228E1">
            <w:pPr>
              <w:rPr>
                <w:rFonts w:ascii="Cambria" w:eastAsia="Times New Roman" w:hAnsi="Cambria" w:cs="Times New Roman"/>
                <w:b w:val="0"/>
                <w:bCs w:val="0"/>
                <w:color w:val="000000"/>
              </w:rPr>
            </w:pPr>
            <w:r w:rsidRPr="004228E1">
              <w:rPr>
                <w:rFonts w:ascii="Cambria" w:hAnsi="Cambria"/>
                <w:b w:val="0"/>
                <w:bCs w:val="0"/>
              </w:rPr>
              <w:t>Troškovi otpremnina</w:t>
            </w:r>
          </w:p>
        </w:tc>
        <w:tc>
          <w:tcPr>
            <w:tcW w:w="2027" w:type="dxa"/>
            <w:shd w:val="clear" w:color="auto" w:fill="auto"/>
            <w:noWrap/>
          </w:tcPr>
          <w:p w14:paraId="30EF5EC5" w14:textId="6367BCE6" w:rsidR="004228E1" w:rsidRPr="004228E1" w:rsidRDefault="004228E1" w:rsidP="004228E1">
            <w:pPr>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rPr>
            </w:pPr>
            <w:r w:rsidRPr="004228E1">
              <w:rPr>
                <w:rFonts w:ascii="Cambria" w:hAnsi="Cambria"/>
              </w:rPr>
              <w:t>7.500</w:t>
            </w:r>
          </w:p>
        </w:tc>
        <w:tc>
          <w:tcPr>
            <w:tcW w:w="1822" w:type="dxa"/>
            <w:gridSpan w:val="2"/>
            <w:shd w:val="clear" w:color="auto" w:fill="auto"/>
            <w:noWrap/>
          </w:tcPr>
          <w:p w14:paraId="6A13743F" w14:textId="1DC6B4EC" w:rsidR="004228E1" w:rsidRPr="004228E1" w:rsidRDefault="004228E1" w:rsidP="004228E1">
            <w:pPr>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sr-Cyrl-BA"/>
              </w:rPr>
            </w:pPr>
            <w:r w:rsidRPr="004228E1">
              <w:rPr>
                <w:rFonts w:ascii="Cambria" w:hAnsi="Cambria"/>
              </w:rPr>
              <w:t>0</w:t>
            </w:r>
          </w:p>
        </w:tc>
      </w:tr>
      <w:tr w:rsidR="004228E1" w:rsidRPr="00C97AD6" w14:paraId="6AE5829D" w14:textId="77777777" w:rsidTr="004228E1">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4565" w:type="dxa"/>
            <w:shd w:val="clear" w:color="auto" w:fill="auto"/>
            <w:noWrap/>
          </w:tcPr>
          <w:p w14:paraId="69459582" w14:textId="0676FE78" w:rsidR="004228E1" w:rsidRPr="004228E1" w:rsidRDefault="004228E1" w:rsidP="004228E1">
            <w:pPr>
              <w:rPr>
                <w:rFonts w:ascii="Cambria" w:hAnsi="Cambria"/>
                <w:b w:val="0"/>
                <w:bCs w:val="0"/>
              </w:rPr>
            </w:pPr>
            <w:r w:rsidRPr="004228E1">
              <w:rPr>
                <w:rFonts w:ascii="Cambria" w:hAnsi="Cambria"/>
                <w:b w:val="0"/>
                <w:bCs w:val="0"/>
              </w:rPr>
              <w:t>Troškovi zaposlenih na službenom putu</w:t>
            </w:r>
          </w:p>
        </w:tc>
        <w:tc>
          <w:tcPr>
            <w:tcW w:w="2027" w:type="dxa"/>
            <w:shd w:val="clear" w:color="auto" w:fill="auto"/>
            <w:noWrap/>
          </w:tcPr>
          <w:p w14:paraId="2D859E3B" w14:textId="55FCE01F" w:rsidR="004228E1" w:rsidRPr="004228E1" w:rsidRDefault="004228E1" w:rsidP="004228E1">
            <w:pPr>
              <w:jc w:val="center"/>
              <w:cnfStyle w:val="000000100000" w:firstRow="0" w:lastRow="0" w:firstColumn="0" w:lastColumn="0" w:oddVBand="0" w:evenVBand="0" w:oddHBand="1" w:evenHBand="0" w:firstRowFirstColumn="0" w:firstRowLastColumn="0" w:lastRowFirstColumn="0" w:lastRowLastColumn="0"/>
              <w:rPr>
                <w:rFonts w:ascii="Cambria" w:hAnsi="Cambria"/>
              </w:rPr>
            </w:pPr>
            <w:r>
              <w:t>1.</w:t>
            </w:r>
            <w:r w:rsidR="000C55D9">
              <w:t>470</w:t>
            </w:r>
          </w:p>
        </w:tc>
        <w:tc>
          <w:tcPr>
            <w:tcW w:w="1822" w:type="dxa"/>
            <w:gridSpan w:val="2"/>
            <w:shd w:val="clear" w:color="auto" w:fill="auto"/>
            <w:noWrap/>
          </w:tcPr>
          <w:p w14:paraId="7A13F687" w14:textId="7FCDAD75" w:rsidR="004228E1" w:rsidRPr="004228E1" w:rsidRDefault="004228E1" w:rsidP="004228E1">
            <w:pPr>
              <w:jc w:val="center"/>
              <w:cnfStyle w:val="000000100000" w:firstRow="0" w:lastRow="0" w:firstColumn="0" w:lastColumn="0" w:oddVBand="0" w:evenVBand="0" w:oddHBand="1" w:evenHBand="0" w:firstRowFirstColumn="0" w:firstRowLastColumn="0" w:lastRowFirstColumn="0" w:lastRowLastColumn="0"/>
              <w:rPr>
                <w:rFonts w:ascii="Cambria" w:hAnsi="Cambria"/>
              </w:rPr>
            </w:pPr>
            <w:r>
              <w:rPr>
                <w:rFonts w:ascii="Cambria" w:hAnsi="Cambria"/>
              </w:rPr>
              <w:t>7</w:t>
            </w:r>
            <w:r w:rsidR="000C55D9">
              <w:rPr>
                <w:rFonts w:ascii="Cambria" w:hAnsi="Cambria"/>
              </w:rPr>
              <w:t>56</w:t>
            </w:r>
          </w:p>
        </w:tc>
      </w:tr>
      <w:tr w:rsidR="004228E1" w:rsidRPr="00C97AD6" w14:paraId="36EA6969" w14:textId="296831FF" w:rsidTr="00C97AD6">
        <w:trPr>
          <w:trHeight w:val="309"/>
        </w:trPr>
        <w:tc>
          <w:tcPr>
            <w:cnfStyle w:val="001000000000" w:firstRow="0" w:lastRow="0" w:firstColumn="1" w:lastColumn="0" w:oddVBand="0" w:evenVBand="0" w:oddHBand="0" w:evenHBand="0" w:firstRowFirstColumn="0" w:firstRowLastColumn="0" w:lastRowFirstColumn="0" w:lastRowLastColumn="0"/>
            <w:tcW w:w="4565" w:type="dxa"/>
            <w:tcBorders>
              <w:bottom w:val="single" w:sz="4" w:space="0" w:color="auto"/>
            </w:tcBorders>
            <w:shd w:val="clear" w:color="auto" w:fill="auto"/>
            <w:noWrap/>
            <w:hideMark/>
          </w:tcPr>
          <w:p w14:paraId="28C6BC17" w14:textId="1A626C53" w:rsidR="004228E1" w:rsidRPr="00C97AD6" w:rsidRDefault="004228E1" w:rsidP="004228E1">
            <w:pPr>
              <w:rPr>
                <w:rFonts w:asciiTheme="majorHAnsi" w:eastAsia="Times New Roman" w:hAnsiTheme="majorHAnsi" w:cs="Times New Roman"/>
                <w:b w:val="0"/>
                <w:bCs w:val="0"/>
                <w:color w:val="000000"/>
              </w:rPr>
            </w:pPr>
            <w:r w:rsidRPr="00C97AD6">
              <w:rPr>
                <w:rFonts w:asciiTheme="majorHAnsi" w:hAnsiTheme="majorHAnsi"/>
                <w:b w:val="0"/>
                <w:bCs w:val="0"/>
              </w:rPr>
              <w:t>Ostale naknade zaposlenim</w:t>
            </w:r>
          </w:p>
        </w:tc>
        <w:tc>
          <w:tcPr>
            <w:tcW w:w="2027" w:type="dxa"/>
            <w:tcBorders>
              <w:bottom w:val="single" w:sz="4" w:space="0" w:color="auto"/>
            </w:tcBorders>
            <w:shd w:val="clear" w:color="auto" w:fill="auto"/>
            <w:noWrap/>
          </w:tcPr>
          <w:p w14:paraId="6B2A975E" w14:textId="4E81A3EA" w:rsidR="004228E1" w:rsidRPr="00C97AD6" w:rsidRDefault="004228E1" w:rsidP="004228E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bCs/>
              </w:rPr>
            </w:pPr>
            <w:r>
              <w:rPr>
                <w:rFonts w:asciiTheme="majorHAnsi" w:eastAsia="Times New Roman" w:hAnsiTheme="majorHAnsi" w:cs="Times New Roman"/>
                <w:bCs/>
              </w:rPr>
              <w:t>12.937</w:t>
            </w:r>
          </w:p>
        </w:tc>
        <w:tc>
          <w:tcPr>
            <w:tcW w:w="1822" w:type="dxa"/>
            <w:gridSpan w:val="2"/>
            <w:tcBorders>
              <w:bottom w:val="single" w:sz="4" w:space="0" w:color="auto"/>
            </w:tcBorders>
            <w:shd w:val="clear" w:color="auto" w:fill="auto"/>
            <w:noWrap/>
          </w:tcPr>
          <w:p w14:paraId="5BFDE942" w14:textId="3485524D" w:rsidR="004228E1" w:rsidRPr="00C97AD6" w:rsidRDefault="004228E1" w:rsidP="004228E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sr-Cyrl-BA"/>
              </w:rPr>
            </w:pPr>
            <w:r w:rsidRPr="00C97AD6">
              <w:rPr>
                <w:rFonts w:asciiTheme="majorHAnsi" w:hAnsiTheme="majorHAnsi"/>
              </w:rPr>
              <w:t>1.7</w:t>
            </w:r>
            <w:r w:rsidR="000C55D9">
              <w:rPr>
                <w:rFonts w:asciiTheme="majorHAnsi" w:hAnsiTheme="majorHAnsi"/>
              </w:rPr>
              <w:t>37</w:t>
            </w:r>
          </w:p>
        </w:tc>
      </w:tr>
      <w:tr w:rsidR="004228E1" w:rsidRPr="00C97AD6" w14:paraId="655B1ACC" w14:textId="0D72153B" w:rsidTr="00C97AD6">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4565" w:type="dxa"/>
            <w:tcBorders>
              <w:bottom w:val="single" w:sz="4" w:space="0" w:color="auto"/>
            </w:tcBorders>
            <w:shd w:val="clear" w:color="auto" w:fill="auto"/>
            <w:noWrap/>
            <w:hideMark/>
          </w:tcPr>
          <w:p w14:paraId="59DAB237" w14:textId="3FDF2CD9" w:rsidR="004228E1" w:rsidRPr="00C97AD6" w:rsidRDefault="004228E1" w:rsidP="004228E1">
            <w:pPr>
              <w:rPr>
                <w:rFonts w:asciiTheme="majorHAnsi" w:eastAsia="Times New Roman" w:hAnsiTheme="majorHAnsi" w:cs="Times New Roman"/>
                <w:b w:val="0"/>
                <w:color w:val="000000"/>
                <w:highlight w:val="yellow"/>
              </w:rPr>
            </w:pPr>
            <w:r w:rsidRPr="00C97AD6">
              <w:rPr>
                <w:rFonts w:asciiTheme="majorHAnsi" w:hAnsiTheme="majorHAnsi"/>
              </w:rPr>
              <w:t>UKUPNO:</w:t>
            </w:r>
          </w:p>
        </w:tc>
        <w:tc>
          <w:tcPr>
            <w:tcW w:w="2027" w:type="dxa"/>
            <w:tcBorders>
              <w:bottom w:val="single" w:sz="4" w:space="0" w:color="auto"/>
            </w:tcBorders>
            <w:shd w:val="clear" w:color="auto" w:fill="auto"/>
            <w:noWrap/>
          </w:tcPr>
          <w:p w14:paraId="35F3D65A" w14:textId="66AA050C" w:rsidR="004228E1" w:rsidRPr="00C97AD6" w:rsidRDefault="004228E1" w:rsidP="004228E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b/>
                <w:bCs/>
                <w:highlight w:val="yellow"/>
              </w:rPr>
            </w:pPr>
            <w:r w:rsidRPr="00DA1DB3">
              <w:rPr>
                <w:rFonts w:asciiTheme="majorHAnsi" w:eastAsia="Times New Roman" w:hAnsiTheme="majorHAnsi" w:cs="Times New Roman"/>
                <w:b/>
                <w:bCs/>
              </w:rPr>
              <w:t>14</w:t>
            </w:r>
            <w:r w:rsidR="000C55D9">
              <w:rPr>
                <w:rFonts w:asciiTheme="majorHAnsi" w:eastAsia="Times New Roman" w:hAnsiTheme="majorHAnsi" w:cs="Times New Roman"/>
                <w:b/>
                <w:bCs/>
              </w:rPr>
              <w:t>0</w:t>
            </w:r>
            <w:r w:rsidRPr="00DA1DB3">
              <w:rPr>
                <w:rFonts w:asciiTheme="majorHAnsi" w:eastAsia="Times New Roman" w:hAnsiTheme="majorHAnsi" w:cs="Times New Roman"/>
                <w:b/>
                <w:bCs/>
              </w:rPr>
              <w:t>.</w:t>
            </w:r>
            <w:r w:rsidR="000C55D9">
              <w:rPr>
                <w:rFonts w:asciiTheme="majorHAnsi" w:eastAsia="Times New Roman" w:hAnsiTheme="majorHAnsi" w:cs="Times New Roman"/>
                <w:b/>
                <w:bCs/>
              </w:rPr>
              <w:t>860</w:t>
            </w:r>
          </w:p>
        </w:tc>
        <w:tc>
          <w:tcPr>
            <w:tcW w:w="1822" w:type="dxa"/>
            <w:gridSpan w:val="2"/>
            <w:tcBorders>
              <w:bottom w:val="single" w:sz="4" w:space="0" w:color="auto"/>
            </w:tcBorders>
            <w:shd w:val="clear" w:color="auto" w:fill="auto"/>
            <w:noWrap/>
          </w:tcPr>
          <w:p w14:paraId="66730386" w14:textId="781A0882" w:rsidR="004228E1" w:rsidRPr="00C97AD6" w:rsidRDefault="004228E1" w:rsidP="004228E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b/>
                <w:bCs/>
                <w:lang w:val="sr-Cyrl-BA"/>
              </w:rPr>
            </w:pPr>
            <w:r w:rsidRPr="00C97AD6">
              <w:rPr>
                <w:rFonts w:asciiTheme="majorHAnsi" w:hAnsiTheme="majorHAnsi"/>
                <w:b/>
                <w:bCs/>
              </w:rPr>
              <w:t>110.543</w:t>
            </w:r>
          </w:p>
        </w:tc>
      </w:tr>
      <w:tr w:rsidR="004228E1" w:rsidRPr="00C97AD6" w14:paraId="2E52484A" w14:textId="77777777" w:rsidTr="00C97AD6">
        <w:trPr>
          <w:trHeight w:val="309"/>
        </w:trPr>
        <w:tc>
          <w:tcPr>
            <w:cnfStyle w:val="001000000000" w:firstRow="0" w:lastRow="0" w:firstColumn="1" w:lastColumn="0" w:oddVBand="0" w:evenVBand="0" w:oddHBand="0" w:evenHBand="0" w:firstRowFirstColumn="0" w:firstRowLastColumn="0" w:lastRowFirstColumn="0" w:lastRowLastColumn="0"/>
            <w:tcW w:w="4565" w:type="dxa"/>
            <w:tcBorders>
              <w:top w:val="single" w:sz="4" w:space="0" w:color="auto"/>
              <w:left w:val="nil"/>
              <w:bottom w:val="single" w:sz="4" w:space="0" w:color="auto"/>
              <w:right w:val="nil"/>
            </w:tcBorders>
            <w:shd w:val="clear" w:color="auto" w:fill="auto"/>
            <w:noWrap/>
          </w:tcPr>
          <w:p w14:paraId="6C2BFE65" w14:textId="77777777" w:rsidR="004228E1" w:rsidRPr="00C97AD6" w:rsidRDefault="004228E1" w:rsidP="004228E1">
            <w:pPr>
              <w:rPr>
                <w:rFonts w:asciiTheme="majorHAnsi" w:hAnsiTheme="majorHAnsi" w:cs="Times New Roman"/>
                <w:b w:val="0"/>
                <w:i/>
                <w:iCs/>
              </w:rPr>
            </w:pPr>
          </w:p>
          <w:p w14:paraId="751FF734" w14:textId="02B17040" w:rsidR="004228E1" w:rsidRPr="00C97AD6" w:rsidRDefault="004228E1" w:rsidP="004228E1">
            <w:pPr>
              <w:rPr>
                <w:rFonts w:asciiTheme="majorHAnsi" w:hAnsiTheme="majorHAnsi" w:cs="Times New Roman"/>
                <w:bCs w:val="0"/>
                <w:i/>
                <w:iCs/>
              </w:rPr>
            </w:pPr>
          </w:p>
        </w:tc>
        <w:tc>
          <w:tcPr>
            <w:tcW w:w="2027" w:type="dxa"/>
            <w:tcBorders>
              <w:top w:val="single" w:sz="4" w:space="0" w:color="auto"/>
              <w:left w:val="nil"/>
              <w:bottom w:val="single" w:sz="4" w:space="0" w:color="auto"/>
              <w:right w:val="nil"/>
            </w:tcBorders>
            <w:shd w:val="clear" w:color="auto" w:fill="auto"/>
            <w:noWrap/>
          </w:tcPr>
          <w:p w14:paraId="665B711D" w14:textId="77777777" w:rsidR="004228E1" w:rsidRPr="00C97AD6" w:rsidRDefault="004228E1" w:rsidP="004228E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b/>
                <w:bCs/>
              </w:rPr>
            </w:pPr>
          </w:p>
        </w:tc>
        <w:tc>
          <w:tcPr>
            <w:tcW w:w="1822" w:type="dxa"/>
            <w:gridSpan w:val="2"/>
            <w:tcBorders>
              <w:top w:val="single" w:sz="4" w:space="0" w:color="auto"/>
              <w:left w:val="nil"/>
              <w:bottom w:val="single" w:sz="4" w:space="0" w:color="auto"/>
              <w:right w:val="nil"/>
            </w:tcBorders>
            <w:shd w:val="clear" w:color="auto" w:fill="auto"/>
            <w:noWrap/>
          </w:tcPr>
          <w:p w14:paraId="5D0F4837" w14:textId="77777777" w:rsidR="004228E1" w:rsidRPr="00C97AD6" w:rsidRDefault="004228E1" w:rsidP="004228E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b/>
                <w:bCs/>
              </w:rPr>
            </w:pPr>
          </w:p>
        </w:tc>
      </w:tr>
      <w:tr w:rsidR="004228E1" w:rsidRPr="00C97AD6" w14:paraId="2A2E518B" w14:textId="77777777" w:rsidTr="00C97AD6">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4565" w:type="dxa"/>
            <w:tcBorders>
              <w:top w:val="single" w:sz="4" w:space="0" w:color="auto"/>
            </w:tcBorders>
            <w:shd w:val="clear" w:color="auto" w:fill="auto"/>
            <w:noWrap/>
          </w:tcPr>
          <w:p w14:paraId="4999EBEF" w14:textId="1731B236" w:rsidR="004228E1" w:rsidRPr="00C97AD6" w:rsidRDefault="004228E1" w:rsidP="004228E1">
            <w:pPr>
              <w:jc w:val="center"/>
              <w:rPr>
                <w:rFonts w:asciiTheme="majorHAnsi" w:hAnsiTheme="majorHAnsi" w:cs="Times New Roman"/>
                <w:b w:val="0"/>
                <w:i/>
                <w:iCs/>
              </w:rPr>
            </w:pPr>
            <w:r w:rsidRPr="00C97AD6">
              <w:rPr>
                <w:rFonts w:asciiTheme="majorHAnsi" w:hAnsiTheme="majorHAnsi"/>
              </w:rPr>
              <w:t>Opis</w:t>
            </w:r>
          </w:p>
        </w:tc>
        <w:tc>
          <w:tcPr>
            <w:tcW w:w="2027" w:type="dxa"/>
            <w:tcBorders>
              <w:top w:val="single" w:sz="4" w:space="0" w:color="auto"/>
            </w:tcBorders>
            <w:shd w:val="clear" w:color="auto" w:fill="auto"/>
            <w:noWrap/>
          </w:tcPr>
          <w:p w14:paraId="30FD11C2" w14:textId="2A0B535B" w:rsidR="004228E1" w:rsidRPr="00C97AD6" w:rsidRDefault="004228E1" w:rsidP="004228E1">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b/>
                <w:bCs/>
              </w:rPr>
            </w:pPr>
            <w:r w:rsidRPr="00C97AD6">
              <w:rPr>
                <w:rFonts w:asciiTheme="majorHAnsi" w:hAnsiTheme="majorHAnsi"/>
                <w:b/>
                <w:bCs/>
              </w:rPr>
              <w:t>30.06.2023</w:t>
            </w:r>
          </w:p>
        </w:tc>
        <w:tc>
          <w:tcPr>
            <w:tcW w:w="1822" w:type="dxa"/>
            <w:gridSpan w:val="2"/>
            <w:tcBorders>
              <w:top w:val="single" w:sz="4" w:space="0" w:color="auto"/>
            </w:tcBorders>
            <w:shd w:val="clear" w:color="auto" w:fill="auto"/>
            <w:noWrap/>
          </w:tcPr>
          <w:p w14:paraId="779F0276" w14:textId="02B6D44F" w:rsidR="004228E1" w:rsidRPr="00C97AD6" w:rsidRDefault="004228E1" w:rsidP="004228E1">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b/>
                <w:bCs/>
              </w:rPr>
            </w:pPr>
            <w:r w:rsidRPr="00C97AD6">
              <w:rPr>
                <w:rFonts w:asciiTheme="majorHAnsi" w:hAnsiTheme="majorHAnsi"/>
                <w:b/>
                <w:bCs/>
              </w:rPr>
              <w:t>30.06.2022</w:t>
            </w:r>
          </w:p>
        </w:tc>
      </w:tr>
      <w:tr w:rsidR="004228E1" w:rsidRPr="00C97AD6" w14:paraId="499D6E3D" w14:textId="414367BD" w:rsidTr="00C97AD6">
        <w:trPr>
          <w:trHeight w:val="309"/>
        </w:trPr>
        <w:tc>
          <w:tcPr>
            <w:cnfStyle w:val="001000000000" w:firstRow="0" w:lastRow="0" w:firstColumn="1" w:lastColumn="0" w:oddVBand="0" w:evenVBand="0" w:oddHBand="0" w:evenHBand="0" w:firstRowFirstColumn="0" w:firstRowLastColumn="0" w:lastRowFirstColumn="0" w:lastRowLastColumn="0"/>
            <w:tcW w:w="4565" w:type="dxa"/>
            <w:shd w:val="clear" w:color="auto" w:fill="auto"/>
            <w:noWrap/>
            <w:hideMark/>
          </w:tcPr>
          <w:p w14:paraId="35C94D44" w14:textId="1FE93C0D" w:rsidR="004228E1" w:rsidRPr="00C97AD6" w:rsidRDefault="004228E1" w:rsidP="004228E1">
            <w:pPr>
              <w:rPr>
                <w:rFonts w:asciiTheme="majorHAnsi" w:eastAsia="Times New Roman" w:hAnsiTheme="majorHAnsi" w:cs="Times New Roman"/>
                <w:b w:val="0"/>
                <w:bCs w:val="0"/>
                <w:color w:val="000000"/>
              </w:rPr>
            </w:pPr>
            <w:r w:rsidRPr="00C97AD6">
              <w:rPr>
                <w:rFonts w:asciiTheme="majorHAnsi" w:hAnsiTheme="majorHAnsi"/>
                <w:b w:val="0"/>
                <w:bCs w:val="0"/>
              </w:rPr>
              <w:t>Troškovi PTT usluga</w:t>
            </w:r>
          </w:p>
        </w:tc>
        <w:tc>
          <w:tcPr>
            <w:tcW w:w="2027" w:type="dxa"/>
            <w:shd w:val="clear" w:color="auto" w:fill="auto"/>
            <w:noWrap/>
          </w:tcPr>
          <w:p w14:paraId="06A5F5AF" w14:textId="78DB0BBD" w:rsidR="004228E1" w:rsidRPr="00C97AD6" w:rsidRDefault="004228E1" w:rsidP="004228E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rPr>
            </w:pPr>
            <w:r>
              <w:rPr>
                <w:rFonts w:asciiTheme="majorHAnsi" w:eastAsia="Times New Roman" w:hAnsiTheme="majorHAnsi" w:cs="Times New Roman"/>
              </w:rPr>
              <w:t>1.701</w:t>
            </w:r>
          </w:p>
        </w:tc>
        <w:tc>
          <w:tcPr>
            <w:tcW w:w="1822" w:type="dxa"/>
            <w:gridSpan w:val="2"/>
            <w:shd w:val="clear" w:color="auto" w:fill="auto"/>
            <w:noWrap/>
          </w:tcPr>
          <w:p w14:paraId="27CEF518" w14:textId="6216A8AA" w:rsidR="004228E1" w:rsidRPr="00C97AD6" w:rsidRDefault="004228E1" w:rsidP="004228E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sr-Cyrl-BA"/>
              </w:rPr>
            </w:pPr>
            <w:r w:rsidRPr="00C97AD6">
              <w:rPr>
                <w:rFonts w:asciiTheme="majorHAnsi" w:hAnsiTheme="majorHAnsi"/>
              </w:rPr>
              <w:t>1.747</w:t>
            </w:r>
          </w:p>
        </w:tc>
      </w:tr>
      <w:tr w:rsidR="004228E1" w:rsidRPr="00C97AD6" w14:paraId="5E22743E" w14:textId="70E9EBC8" w:rsidTr="00C97AD6">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4565" w:type="dxa"/>
            <w:shd w:val="clear" w:color="auto" w:fill="auto"/>
            <w:noWrap/>
            <w:hideMark/>
          </w:tcPr>
          <w:p w14:paraId="379AEFCE" w14:textId="33407EC3" w:rsidR="004228E1" w:rsidRPr="00C97AD6" w:rsidRDefault="004228E1" w:rsidP="004228E1">
            <w:pPr>
              <w:rPr>
                <w:rFonts w:asciiTheme="majorHAnsi" w:eastAsia="Times New Roman" w:hAnsiTheme="majorHAnsi" w:cs="Times New Roman"/>
                <w:b w:val="0"/>
                <w:bCs w:val="0"/>
                <w:color w:val="000000"/>
              </w:rPr>
            </w:pPr>
            <w:r w:rsidRPr="00C97AD6">
              <w:rPr>
                <w:rFonts w:asciiTheme="majorHAnsi" w:hAnsiTheme="majorHAnsi"/>
                <w:b w:val="0"/>
                <w:bCs w:val="0"/>
              </w:rPr>
              <w:t>Troškovi usluga održavanja</w:t>
            </w:r>
          </w:p>
        </w:tc>
        <w:tc>
          <w:tcPr>
            <w:tcW w:w="2027" w:type="dxa"/>
            <w:shd w:val="clear" w:color="auto" w:fill="auto"/>
            <w:noWrap/>
          </w:tcPr>
          <w:p w14:paraId="4DEE7CEA" w14:textId="0A8EB3FF" w:rsidR="004228E1" w:rsidRPr="00C97AD6" w:rsidRDefault="004228E1" w:rsidP="004228E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rPr>
            </w:pPr>
            <w:r>
              <w:rPr>
                <w:rFonts w:asciiTheme="majorHAnsi" w:eastAsia="Times New Roman" w:hAnsiTheme="majorHAnsi" w:cs="Times New Roman"/>
              </w:rPr>
              <w:t>947</w:t>
            </w:r>
          </w:p>
        </w:tc>
        <w:tc>
          <w:tcPr>
            <w:tcW w:w="1822" w:type="dxa"/>
            <w:gridSpan w:val="2"/>
            <w:shd w:val="clear" w:color="auto" w:fill="auto"/>
            <w:noWrap/>
          </w:tcPr>
          <w:p w14:paraId="513AF6FF" w14:textId="3F5EC0CE" w:rsidR="004228E1" w:rsidRPr="00C97AD6" w:rsidRDefault="004228E1" w:rsidP="004228E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sr-Cyrl-BA"/>
              </w:rPr>
            </w:pPr>
            <w:r w:rsidRPr="00C97AD6">
              <w:rPr>
                <w:rFonts w:asciiTheme="majorHAnsi" w:hAnsiTheme="majorHAnsi"/>
              </w:rPr>
              <w:t>900</w:t>
            </w:r>
          </w:p>
        </w:tc>
      </w:tr>
      <w:tr w:rsidR="004228E1" w:rsidRPr="00C97AD6" w14:paraId="4F8A1D74" w14:textId="0530793C" w:rsidTr="00C97AD6">
        <w:trPr>
          <w:trHeight w:val="309"/>
        </w:trPr>
        <w:tc>
          <w:tcPr>
            <w:cnfStyle w:val="001000000000" w:firstRow="0" w:lastRow="0" w:firstColumn="1" w:lastColumn="0" w:oddVBand="0" w:evenVBand="0" w:oddHBand="0" w:evenHBand="0" w:firstRowFirstColumn="0" w:firstRowLastColumn="0" w:lastRowFirstColumn="0" w:lastRowLastColumn="0"/>
            <w:tcW w:w="4565" w:type="dxa"/>
            <w:shd w:val="clear" w:color="auto" w:fill="auto"/>
            <w:noWrap/>
            <w:hideMark/>
          </w:tcPr>
          <w:p w14:paraId="6AD26608" w14:textId="0FF2FFCB" w:rsidR="004228E1" w:rsidRPr="00C97AD6" w:rsidRDefault="004228E1" w:rsidP="004228E1">
            <w:pPr>
              <w:rPr>
                <w:rFonts w:asciiTheme="majorHAnsi" w:eastAsia="Times New Roman" w:hAnsiTheme="majorHAnsi" w:cs="Times New Roman"/>
                <w:b w:val="0"/>
                <w:bCs w:val="0"/>
                <w:color w:val="000000"/>
              </w:rPr>
            </w:pPr>
            <w:r w:rsidRPr="00C97AD6">
              <w:rPr>
                <w:rFonts w:asciiTheme="majorHAnsi" w:hAnsiTheme="majorHAnsi"/>
                <w:b w:val="0"/>
                <w:bCs w:val="0"/>
              </w:rPr>
              <w:t xml:space="preserve">Troškovi zakupa </w:t>
            </w:r>
          </w:p>
        </w:tc>
        <w:tc>
          <w:tcPr>
            <w:tcW w:w="2027" w:type="dxa"/>
            <w:shd w:val="clear" w:color="auto" w:fill="auto"/>
            <w:noWrap/>
          </w:tcPr>
          <w:p w14:paraId="24A1363F" w14:textId="55D0CAE3" w:rsidR="004228E1" w:rsidRPr="00C97AD6" w:rsidRDefault="004228E1" w:rsidP="004228E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rPr>
            </w:pPr>
            <w:r>
              <w:rPr>
                <w:rFonts w:asciiTheme="majorHAnsi" w:eastAsia="Times New Roman" w:hAnsiTheme="majorHAnsi" w:cs="Times New Roman"/>
              </w:rPr>
              <w:t>8.400</w:t>
            </w:r>
          </w:p>
        </w:tc>
        <w:tc>
          <w:tcPr>
            <w:tcW w:w="1822" w:type="dxa"/>
            <w:gridSpan w:val="2"/>
            <w:shd w:val="clear" w:color="auto" w:fill="auto"/>
            <w:noWrap/>
          </w:tcPr>
          <w:p w14:paraId="57AAD3BF" w14:textId="6B6F22AC" w:rsidR="004228E1" w:rsidRPr="00C97AD6" w:rsidRDefault="004228E1" w:rsidP="004228E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sr-Cyrl-BA"/>
              </w:rPr>
            </w:pPr>
            <w:r w:rsidRPr="00C97AD6">
              <w:rPr>
                <w:rFonts w:asciiTheme="majorHAnsi" w:hAnsiTheme="majorHAnsi"/>
              </w:rPr>
              <w:t>6.000</w:t>
            </w:r>
          </w:p>
        </w:tc>
      </w:tr>
      <w:tr w:rsidR="004228E1" w:rsidRPr="00C97AD6" w14:paraId="4210DEE5" w14:textId="4BF6505F" w:rsidTr="00C97AD6">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4565" w:type="dxa"/>
            <w:shd w:val="clear" w:color="auto" w:fill="auto"/>
            <w:noWrap/>
            <w:hideMark/>
          </w:tcPr>
          <w:p w14:paraId="0098C788" w14:textId="0DE85454" w:rsidR="004228E1" w:rsidRPr="00C97AD6" w:rsidRDefault="004228E1" w:rsidP="004228E1">
            <w:pPr>
              <w:rPr>
                <w:rFonts w:asciiTheme="majorHAnsi" w:eastAsia="Times New Roman" w:hAnsiTheme="majorHAnsi" w:cs="Times New Roman"/>
                <w:b w:val="0"/>
                <w:bCs w:val="0"/>
                <w:color w:val="000000"/>
              </w:rPr>
            </w:pPr>
            <w:r w:rsidRPr="00C97AD6">
              <w:rPr>
                <w:rFonts w:asciiTheme="majorHAnsi" w:hAnsiTheme="majorHAnsi"/>
                <w:b w:val="0"/>
                <w:bCs w:val="0"/>
              </w:rPr>
              <w:t>Trošak novinskih oglasa</w:t>
            </w:r>
          </w:p>
        </w:tc>
        <w:tc>
          <w:tcPr>
            <w:tcW w:w="2027" w:type="dxa"/>
            <w:shd w:val="clear" w:color="auto" w:fill="auto"/>
            <w:noWrap/>
          </w:tcPr>
          <w:p w14:paraId="002B5E76" w14:textId="48F41910" w:rsidR="004228E1" w:rsidRPr="00C97AD6" w:rsidRDefault="004228E1" w:rsidP="004228E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rPr>
            </w:pPr>
            <w:r>
              <w:rPr>
                <w:rFonts w:asciiTheme="majorHAnsi" w:eastAsia="Times New Roman" w:hAnsiTheme="majorHAnsi" w:cs="Times New Roman"/>
              </w:rPr>
              <w:t>617</w:t>
            </w:r>
          </w:p>
        </w:tc>
        <w:tc>
          <w:tcPr>
            <w:tcW w:w="1822" w:type="dxa"/>
            <w:gridSpan w:val="2"/>
            <w:shd w:val="clear" w:color="auto" w:fill="auto"/>
            <w:noWrap/>
          </w:tcPr>
          <w:p w14:paraId="1AD3953C" w14:textId="7E7B4BFE" w:rsidR="004228E1" w:rsidRPr="00C97AD6" w:rsidRDefault="004228E1" w:rsidP="004228E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lang w:val="sr-Cyrl-BA"/>
              </w:rPr>
            </w:pPr>
            <w:r w:rsidRPr="00C97AD6">
              <w:rPr>
                <w:rFonts w:asciiTheme="majorHAnsi" w:hAnsiTheme="majorHAnsi"/>
              </w:rPr>
              <w:t>587</w:t>
            </w:r>
          </w:p>
        </w:tc>
      </w:tr>
      <w:tr w:rsidR="004228E1" w:rsidRPr="00C97AD6" w14:paraId="77BDC73A" w14:textId="26A17CC2" w:rsidTr="00C97AD6">
        <w:trPr>
          <w:trHeight w:val="309"/>
        </w:trPr>
        <w:tc>
          <w:tcPr>
            <w:cnfStyle w:val="001000000000" w:firstRow="0" w:lastRow="0" w:firstColumn="1" w:lastColumn="0" w:oddVBand="0" w:evenVBand="0" w:oddHBand="0" w:evenHBand="0" w:firstRowFirstColumn="0" w:firstRowLastColumn="0" w:lastRowFirstColumn="0" w:lastRowLastColumn="0"/>
            <w:tcW w:w="4565" w:type="dxa"/>
            <w:shd w:val="clear" w:color="auto" w:fill="auto"/>
            <w:noWrap/>
            <w:hideMark/>
          </w:tcPr>
          <w:p w14:paraId="1C43DF32" w14:textId="22C0D462" w:rsidR="004228E1" w:rsidRPr="00C97AD6" w:rsidRDefault="004228E1" w:rsidP="004228E1">
            <w:pPr>
              <w:rPr>
                <w:rFonts w:asciiTheme="majorHAnsi" w:eastAsia="Times New Roman" w:hAnsiTheme="majorHAnsi" w:cs="Times New Roman"/>
                <w:b w:val="0"/>
                <w:bCs w:val="0"/>
                <w:color w:val="000000"/>
              </w:rPr>
            </w:pPr>
            <w:r w:rsidRPr="00C97AD6">
              <w:rPr>
                <w:rFonts w:asciiTheme="majorHAnsi" w:hAnsiTheme="majorHAnsi"/>
                <w:b w:val="0"/>
                <w:bCs w:val="0"/>
              </w:rPr>
              <w:t>Trošak komunalnih usluga</w:t>
            </w:r>
          </w:p>
        </w:tc>
        <w:tc>
          <w:tcPr>
            <w:tcW w:w="2027" w:type="dxa"/>
            <w:shd w:val="clear" w:color="auto" w:fill="auto"/>
            <w:noWrap/>
          </w:tcPr>
          <w:p w14:paraId="72D63922" w14:textId="22FAFEA6" w:rsidR="004228E1" w:rsidRPr="00C97AD6" w:rsidRDefault="004228E1" w:rsidP="004228E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rPr>
            </w:pPr>
            <w:r>
              <w:rPr>
                <w:rFonts w:asciiTheme="majorHAnsi" w:eastAsia="Times New Roman" w:hAnsiTheme="majorHAnsi" w:cs="Times New Roman"/>
              </w:rPr>
              <w:t>195</w:t>
            </w:r>
          </w:p>
        </w:tc>
        <w:tc>
          <w:tcPr>
            <w:tcW w:w="1822" w:type="dxa"/>
            <w:gridSpan w:val="2"/>
            <w:shd w:val="clear" w:color="auto" w:fill="auto"/>
            <w:noWrap/>
          </w:tcPr>
          <w:p w14:paraId="1F5AC17E" w14:textId="58059200" w:rsidR="004228E1" w:rsidRPr="00C97AD6" w:rsidRDefault="004228E1" w:rsidP="004228E1">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lang w:val="sr-Cyrl-BA"/>
              </w:rPr>
            </w:pPr>
            <w:r w:rsidRPr="00C97AD6">
              <w:rPr>
                <w:rFonts w:asciiTheme="majorHAnsi" w:hAnsiTheme="majorHAnsi"/>
              </w:rPr>
              <w:t>165</w:t>
            </w:r>
          </w:p>
        </w:tc>
      </w:tr>
      <w:tr w:rsidR="004228E1" w:rsidRPr="00C97AD6" w14:paraId="3962F80C" w14:textId="3FBB5AC0" w:rsidTr="00C97AD6">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4565" w:type="dxa"/>
            <w:shd w:val="clear" w:color="auto" w:fill="auto"/>
            <w:noWrap/>
          </w:tcPr>
          <w:p w14:paraId="4690EEB6" w14:textId="3641FAE1" w:rsidR="004228E1" w:rsidRPr="00C97AD6" w:rsidRDefault="004228E1" w:rsidP="004228E1">
            <w:pPr>
              <w:rPr>
                <w:rFonts w:asciiTheme="majorHAnsi" w:eastAsia="Times New Roman" w:hAnsiTheme="majorHAnsi" w:cs="Times New Roman"/>
                <w:color w:val="000000"/>
              </w:rPr>
            </w:pPr>
            <w:r w:rsidRPr="00C97AD6">
              <w:rPr>
                <w:rFonts w:asciiTheme="majorHAnsi" w:hAnsiTheme="majorHAnsi"/>
              </w:rPr>
              <w:t>UKUPNO</w:t>
            </w:r>
          </w:p>
        </w:tc>
        <w:tc>
          <w:tcPr>
            <w:tcW w:w="2027" w:type="dxa"/>
            <w:shd w:val="clear" w:color="auto" w:fill="auto"/>
            <w:noWrap/>
          </w:tcPr>
          <w:p w14:paraId="412292A9" w14:textId="7AE23EBA" w:rsidR="004228E1" w:rsidRPr="00C97AD6" w:rsidRDefault="004228E1" w:rsidP="004228E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b/>
                <w:bCs/>
              </w:rPr>
            </w:pPr>
            <w:r>
              <w:rPr>
                <w:rFonts w:asciiTheme="majorHAnsi" w:eastAsia="Times New Roman" w:hAnsiTheme="majorHAnsi" w:cs="Times New Roman"/>
                <w:b/>
                <w:bCs/>
              </w:rPr>
              <w:t>11.860</w:t>
            </w:r>
          </w:p>
        </w:tc>
        <w:tc>
          <w:tcPr>
            <w:tcW w:w="1822" w:type="dxa"/>
            <w:gridSpan w:val="2"/>
            <w:shd w:val="clear" w:color="auto" w:fill="auto"/>
            <w:noWrap/>
          </w:tcPr>
          <w:p w14:paraId="66612F5D" w14:textId="7E06A2F9" w:rsidR="004228E1" w:rsidRPr="00C97AD6" w:rsidRDefault="004228E1" w:rsidP="004228E1">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b/>
                <w:bCs/>
                <w:lang w:val="sr-Cyrl-BA"/>
              </w:rPr>
            </w:pPr>
            <w:r w:rsidRPr="00C97AD6">
              <w:rPr>
                <w:rFonts w:asciiTheme="majorHAnsi" w:hAnsiTheme="majorHAnsi"/>
                <w:b/>
                <w:bCs/>
              </w:rPr>
              <w:t>9.399</w:t>
            </w:r>
          </w:p>
        </w:tc>
      </w:tr>
    </w:tbl>
    <w:p w14:paraId="56C8E4F4" w14:textId="77777777" w:rsidR="00D254BB" w:rsidRDefault="00D254BB" w:rsidP="003745D5">
      <w:pPr>
        <w:jc w:val="both"/>
        <w:rPr>
          <w:rFonts w:asciiTheme="majorHAnsi" w:hAnsiTheme="majorHAnsi" w:cs="Times New Roman"/>
          <w:b/>
        </w:rPr>
      </w:pPr>
    </w:p>
    <w:p w14:paraId="5949E2E4" w14:textId="77777777" w:rsidR="000E7C26" w:rsidRDefault="000E7C26" w:rsidP="003745D5">
      <w:pPr>
        <w:jc w:val="both"/>
        <w:rPr>
          <w:rFonts w:asciiTheme="majorHAnsi" w:hAnsiTheme="majorHAnsi" w:cs="Times New Roman"/>
          <w:b/>
        </w:rPr>
      </w:pPr>
    </w:p>
    <w:p w14:paraId="3DA355C8" w14:textId="77777777" w:rsidR="000E7C26" w:rsidRPr="00C97AD6" w:rsidRDefault="000E7C26" w:rsidP="003745D5">
      <w:pPr>
        <w:jc w:val="both"/>
        <w:rPr>
          <w:rFonts w:asciiTheme="majorHAnsi" w:hAnsiTheme="majorHAnsi" w:cs="Times New Roman"/>
          <w:b/>
        </w:rPr>
      </w:pPr>
    </w:p>
    <w:p w14:paraId="57CF0F0E" w14:textId="7641D658" w:rsidR="00851C9D" w:rsidRPr="006327EF" w:rsidRDefault="00E15F35" w:rsidP="003745D5">
      <w:pPr>
        <w:jc w:val="both"/>
        <w:rPr>
          <w:rFonts w:ascii="Cambria" w:hAnsi="Cambria" w:cs="Times New Roman"/>
          <w:b/>
          <w:sz w:val="24"/>
          <w:szCs w:val="24"/>
        </w:rPr>
      </w:pPr>
      <w:r w:rsidRPr="008775D5">
        <w:rPr>
          <w:rFonts w:ascii="Cambria" w:hAnsi="Cambria" w:cs="Times New Roman"/>
          <w:b/>
          <w:sz w:val="24"/>
          <w:szCs w:val="24"/>
        </w:rPr>
        <w:t>5</w:t>
      </w:r>
      <w:r w:rsidR="00F75227" w:rsidRPr="008775D5">
        <w:rPr>
          <w:rFonts w:ascii="Cambria" w:hAnsi="Cambria" w:cs="Times New Roman"/>
          <w:b/>
          <w:sz w:val="24"/>
          <w:szCs w:val="24"/>
        </w:rPr>
        <w:t>.</w:t>
      </w:r>
      <w:r w:rsidR="00992518" w:rsidRPr="008775D5">
        <w:rPr>
          <w:rFonts w:ascii="Cambria" w:hAnsi="Cambria" w:cs="Times New Roman"/>
          <w:b/>
          <w:sz w:val="24"/>
          <w:szCs w:val="24"/>
        </w:rPr>
        <w:t>2</w:t>
      </w:r>
      <w:r w:rsidR="00F75227" w:rsidRPr="008775D5">
        <w:rPr>
          <w:rFonts w:ascii="Cambria" w:hAnsi="Cambria" w:cs="Times New Roman"/>
          <w:b/>
          <w:sz w:val="24"/>
          <w:szCs w:val="24"/>
        </w:rPr>
        <w:t xml:space="preserve">. </w:t>
      </w:r>
      <w:r w:rsidR="00F75227" w:rsidRPr="006327EF">
        <w:rPr>
          <w:rFonts w:ascii="Cambria" w:hAnsi="Cambria" w:cs="Times New Roman"/>
          <w:b/>
          <w:sz w:val="24"/>
          <w:szCs w:val="24"/>
        </w:rPr>
        <w:t>Nematerijalni troškovi</w:t>
      </w:r>
    </w:p>
    <w:p w14:paraId="5A90BE89" w14:textId="56831C49" w:rsidR="00D153B0" w:rsidRDefault="004674A1" w:rsidP="003745D5">
      <w:pPr>
        <w:jc w:val="both"/>
        <w:rPr>
          <w:rFonts w:ascii="Cambria" w:hAnsi="Cambria" w:cs="Times New Roman"/>
          <w:sz w:val="24"/>
          <w:szCs w:val="24"/>
        </w:rPr>
      </w:pPr>
      <w:r w:rsidRPr="006327EF">
        <w:rPr>
          <w:rFonts w:ascii="Cambria" w:hAnsi="Cambria" w:cs="Times New Roman"/>
          <w:sz w:val="24"/>
          <w:szCs w:val="24"/>
        </w:rPr>
        <w:t>Najznačajniji troškovi u ovoj kategoriji ostvareni su po osnovu troškova neproizvodnih usluga</w:t>
      </w:r>
      <w:r w:rsidR="00A900BA" w:rsidRPr="006327EF">
        <w:rPr>
          <w:rFonts w:ascii="Cambria" w:hAnsi="Cambria" w:cs="Times New Roman"/>
          <w:sz w:val="24"/>
          <w:szCs w:val="24"/>
        </w:rPr>
        <w:t xml:space="preserve"> i to</w:t>
      </w:r>
      <w:r w:rsidRPr="006327EF">
        <w:rPr>
          <w:rFonts w:ascii="Cambria" w:hAnsi="Cambria" w:cs="Times New Roman"/>
          <w:sz w:val="24"/>
          <w:szCs w:val="24"/>
        </w:rPr>
        <w:t xml:space="preserve"> najvećim dijelom po osnovu</w:t>
      </w:r>
      <w:r w:rsidR="00587451" w:rsidRPr="006327EF">
        <w:rPr>
          <w:rFonts w:ascii="Cambria" w:hAnsi="Cambria" w:cs="Times New Roman"/>
          <w:sz w:val="24"/>
          <w:szCs w:val="24"/>
        </w:rPr>
        <w:t xml:space="preserve"> tehničke podrške informacionom </w:t>
      </w:r>
      <w:r w:rsidR="00587451" w:rsidRPr="000E7C26">
        <w:rPr>
          <w:rFonts w:ascii="Cambria" w:hAnsi="Cambria" w:cs="Times New Roman"/>
          <w:sz w:val="24"/>
          <w:szCs w:val="24"/>
        </w:rPr>
        <w:t xml:space="preserve">sistemu </w:t>
      </w:r>
      <w:r w:rsidR="007A62C6" w:rsidRPr="000E7C26">
        <w:rPr>
          <w:rFonts w:ascii="Cambria" w:hAnsi="Cambria" w:cs="Times New Roman"/>
          <w:sz w:val="24"/>
          <w:szCs w:val="24"/>
        </w:rPr>
        <w:t>4.481</w:t>
      </w:r>
      <w:r w:rsidR="00587451" w:rsidRPr="000E7C26">
        <w:rPr>
          <w:rFonts w:ascii="Cambria" w:hAnsi="Cambria" w:cs="Times New Roman"/>
          <w:sz w:val="24"/>
          <w:szCs w:val="24"/>
        </w:rPr>
        <w:t xml:space="preserve"> KM</w:t>
      </w:r>
      <w:r w:rsidR="00A900BA" w:rsidRPr="006327EF">
        <w:rPr>
          <w:rFonts w:ascii="Cambria" w:hAnsi="Cambria" w:cs="Times New Roman"/>
          <w:sz w:val="24"/>
          <w:szCs w:val="24"/>
        </w:rPr>
        <w:t xml:space="preserve">, </w:t>
      </w:r>
      <w:r w:rsidRPr="006327EF">
        <w:rPr>
          <w:rFonts w:ascii="Cambria" w:hAnsi="Cambria" w:cs="Times New Roman"/>
          <w:sz w:val="24"/>
          <w:szCs w:val="24"/>
        </w:rPr>
        <w:t>nakn</w:t>
      </w:r>
      <w:r w:rsidR="00A15C13" w:rsidRPr="006327EF">
        <w:rPr>
          <w:rFonts w:ascii="Cambria" w:hAnsi="Cambria" w:cs="Times New Roman"/>
          <w:sz w:val="24"/>
          <w:szCs w:val="24"/>
        </w:rPr>
        <w:t xml:space="preserve">ade </w:t>
      </w:r>
      <w:r w:rsidR="00A900BA" w:rsidRPr="006327EF">
        <w:rPr>
          <w:rFonts w:ascii="Cambria" w:hAnsi="Cambria" w:cs="Times New Roman"/>
          <w:sz w:val="24"/>
          <w:szCs w:val="24"/>
        </w:rPr>
        <w:t xml:space="preserve">depozitaru u iznosu od </w:t>
      </w:r>
      <w:bookmarkStart w:id="8" w:name="_Hlk95743539"/>
      <w:r w:rsidR="007A62C6" w:rsidRPr="000E7C26">
        <w:rPr>
          <w:rFonts w:ascii="Cambria" w:hAnsi="Cambria" w:cs="Times New Roman"/>
          <w:sz w:val="24"/>
          <w:szCs w:val="24"/>
        </w:rPr>
        <w:t>8.501</w:t>
      </w:r>
      <w:r w:rsidR="00A900BA" w:rsidRPr="000E7C26">
        <w:rPr>
          <w:rFonts w:ascii="Cambria" w:hAnsi="Cambria" w:cs="Times New Roman"/>
          <w:sz w:val="24"/>
          <w:szCs w:val="24"/>
        </w:rPr>
        <w:t xml:space="preserve"> </w:t>
      </w:r>
      <w:bookmarkEnd w:id="8"/>
      <w:r w:rsidR="00A900BA" w:rsidRPr="000E7C26">
        <w:rPr>
          <w:rFonts w:ascii="Cambria" w:hAnsi="Cambria" w:cs="Times New Roman"/>
          <w:sz w:val="24"/>
          <w:szCs w:val="24"/>
        </w:rPr>
        <w:t xml:space="preserve">KM, </w:t>
      </w:r>
      <w:r w:rsidR="00604B1A" w:rsidRPr="000E7C26">
        <w:rPr>
          <w:rFonts w:ascii="Cambria" w:hAnsi="Cambria" w:cs="Times New Roman"/>
          <w:sz w:val="24"/>
          <w:szCs w:val="24"/>
        </w:rPr>
        <w:t xml:space="preserve">revizorske usluge </w:t>
      </w:r>
      <w:r w:rsidR="007A62C6" w:rsidRPr="000E7C26">
        <w:rPr>
          <w:rFonts w:ascii="Cambria" w:hAnsi="Cambria" w:cs="Times New Roman"/>
          <w:sz w:val="24"/>
          <w:szCs w:val="24"/>
        </w:rPr>
        <w:t>5.031</w:t>
      </w:r>
      <w:r w:rsidR="00604B1A" w:rsidRPr="000E7C26">
        <w:rPr>
          <w:rFonts w:ascii="Cambria" w:hAnsi="Cambria" w:cs="Times New Roman"/>
          <w:sz w:val="24"/>
          <w:szCs w:val="24"/>
        </w:rPr>
        <w:t xml:space="preserve"> KM, </w:t>
      </w:r>
      <w:r w:rsidR="00A900BA" w:rsidRPr="000E7C26">
        <w:rPr>
          <w:rFonts w:ascii="Cambria" w:hAnsi="Cambria" w:cs="Times New Roman"/>
          <w:sz w:val="24"/>
          <w:szCs w:val="24"/>
        </w:rPr>
        <w:t xml:space="preserve">naknada CR HOV u iznosu od </w:t>
      </w:r>
      <w:r w:rsidR="007A62C6" w:rsidRPr="000E7C26">
        <w:rPr>
          <w:rFonts w:ascii="Cambria" w:hAnsi="Cambria" w:cs="Times New Roman"/>
          <w:sz w:val="24"/>
          <w:szCs w:val="24"/>
        </w:rPr>
        <w:t>4.660</w:t>
      </w:r>
      <w:r w:rsidR="00E1295E" w:rsidRPr="000E7C26">
        <w:rPr>
          <w:rFonts w:ascii="Cambria" w:hAnsi="Cambria" w:cs="Times New Roman"/>
          <w:sz w:val="24"/>
          <w:szCs w:val="24"/>
        </w:rPr>
        <w:t xml:space="preserve"> </w:t>
      </w:r>
      <w:r w:rsidR="00A900BA" w:rsidRPr="000E7C26">
        <w:rPr>
          <w:rFonts w:ascii="Cambria" w:hAnsi="Cambria" w:cs="Times New Roman"/>
          <w:sz w:val="24"/>
          <w:szCs w:val="24"/>
        </w:rPr>
        <w:t>KM</w:t>
      </w:r>
      <w:r w:rsidR="00E1295E" w:rsidRPr="000E7C26">
        <w:rPr>
          <w:rFonts w:ascii="Cambria" w:hAnsi="Cambria" w:cs="Times New Roman"/>
          <w:sz w:val="24"/>
          <w:szCs w:val="24"/>
        </w:rPr>
        <w:t xml:space="preserve">, naknada KHOV RS </w:t>
      </w:r>
      <w:r w:rsidR="007A62C6" w:rsidRPr="000E7C26">
        <w:rPr>
          <w:rFonts w:ascii="Cambria" w:hAnsi="Cambria" w:cs="Times New Roman"/>
          <w:sz w:val="24"/>
          <w:szCs w:val="24"/>
        </w:rPr>
        <w:t>5.977</w:t>
      </w:r>
      <w:r w:rsidR="00E1295E" w:rsidRPr="000E7C26">
        <w:rPr>
          <w:rFonts w:ascii="Cambria" w:hAnsi="Cambria" w:cs="Times New Roman"/>
          <w:sz w:val="24"/>
          <w:szCs w:val="24"/>
        </w:rPr>
        <w:t xml:space="preserve"> KM, troškovi cemt dozvola </w:t>
      </w:r>
      <w:r w:rsidR="007A62C6" w:rsidRPr="000E7C26">
        <w:rPr>
          <w:rFonts w:ascii="Cambria" w:hAnsi="Cambria" w:cs="Times New Roman"/>
          <w:sz w:val="24"/>
          <w:szCs w:val="24"/>
        </w:rPr>
        <w:t>500</w:t>
      </w:r>
      <w:r w:rsidR="00E1295E" w:rsidRPr="006327EF">
        <w:rPr>
          <w:rFonts w:ascii="Cambria" w:hAnsi="Cambria" w:cs="Times New Roman"/>
          <w:sz w:val="24"/>
          <w:szCs w:val="24"/>
        </w:rPr>
        <w:t xml:space="preserve"> KM,</w:t>
      </w:r>
      <w:r w:rsidR="002F70D2" w:rsidRPr="006327EF">
        <w:rPr>
          <w:rFonts w:ascii="Cambria" w:hAnsi="Cambria" w:cs="Times New Roman"/>
          <w:sz w:val="24"/>
          <w:szCs w:val="24"/>
        </w:rPr>
        <w:t xml:space="preserve"> troškovi usluga RFBBH </w:t>
      </w:r>
      <w:r w:rsidR="007A62C6" w:rsidRPr="000E7C26">
        <w:rPr>
          <w:rFonts w:ascii="Cambria" w:hAnsi="Cambria" w:cs="Times New Roman"/>
          <w:sz w:val="24"/>
          <w:szCs w:val="24"/>
        </w:rPr>
        <w:t>1.345</w:t>
      </w:r>
      <w:r w:rsidR="002F70D2" w:rsidRPr="000E7C26">
        <w:rPr>
          <w:rFonts w:ascii="Cambria" w:hAnsi="Cambria" w:cs="Times New Roman"/>
          <w:sz w:val="24"/>
          <w:szCs w:val="24"/>
        </w:rPr>
        <w:t xml:space="preserve"> KM, </w:t>
      </w:r>
      <w:r w:rsidR="00E1295E" w:rsidRPr="000E7C26">
        <w:rPr>
          <w:rFonts w:ascii="Cambria" w:hAnsi="Cambria" w:cs="Times New Roman"/>
          <w:sz w:val="24"/>
          <w:szCs w:val="24"/>
        </w:rPr>
        <w:t xml:space="preserve">troškovi advokatskih usluga </w:t>
      </w:r>
      <w:r w:rsidR="007A62C6" w:rsidRPr="000E7C26">
        <w:rPr>
          <w:rFonts w:ascii="Cambria" w:hAnsi="Cambria" w:cs="Times New Roman"/>
          <w:sz w:val="24"/>
          <w:szCs w:val="24"/>
        </w:rPr>
        <w:t>3.819</w:t>
      </w:r>
      <w:r w:rsidR="00E1295E" w:rsidRPr="000E7C26">
        <w:rPr>
          <w:rFonts w:ascii="Cambria" w:hAnsi="Cambria" w:cs="Times New Roman"/>
          <w:sz w:val="24"/>
          <w:szCs w:val="24"/>
        </w:rPr>
        <w:t xml:space="preserve"> KM</w:t>
      </w:r>
      <w:r w:rsidR="00287DAD" w:rsidRPr="000E7C26">
        <w:rPr>
          <w:rFonts w:ascii="Cambria" w:hAnsi="Cambria" w:cs="Times New Roman"/>
          <w:sz w:val="24"/>
          <w:szCs w:val="24"/>
        </w:rPr>
        <w:t>, troškovi</w:t>
      </w:r>
      <w:r w:rsidR="00287DAD" w:rsidRPr="006327EF">
        <w:rPr>
          <w:rFonts w:ascii="Cambria" w:hAnsi="Cambria" w:cs="Times New Roman"/>
          <w:sz w:val="24"/>
          <w:szCs w:val="24"/>
        </w:rPr>
        <w:t xml:space="preserve"> stručnog usavršavanja (seminari</w:t>
      </w:r>
      <w:r w:rsidR="00287DAD" w:rsidRPr="000E7C26">
        <w:rPr>
          <w:rFonts w:ascii="Cambria" w:hAnsi="Cambria" w:cs="Times New Roman"/>
          <w:sz w:val="24"/>
          <w:szCs w:val="24"/>
        </w:rPr>
        <w:t xml:space="preserve">) </w:t>
      </w:r>
      <w:r w:rsidR="00837231" w:rsidRPr="000E7C26">
        <w:rPr>
          <w:rFonts w:ascii="Cambria" w:hAnsi="Cambria" w:cs="Times New Roman"/>
          <w:sz w:val="24"/>
          <w:szCs w:val="24"/>
        </w:rPr>
        <w:t>1.</w:t>
      </w:r>
      <w:r w:rsidR="007A62C6" w:rsidRPr="000E7C26">
        <w:rPr>
          <w:rFonts w:ascii="Cambria" w:hAnsi="Cambria" w:cs="Times New Roman"/>
          <w:sz w:val="24"/>
          <w:szCs w:val="24"/>
        </w:rPr>
        <w:t>234</w:t>
      </w:r>
      <w:r w:rsidR="006327EF" w:rsidRPr="000E7C26">
        <w:rPr>
          <w:rFonts w:ascii="Cambria" w:hAnsi="Cambria" w:cs="Times New Roman"/>
          <w:sz w:val="24"/>
          <w:szCs w:val="24"/>
        </w:rPr>
        <w:t xml:space="preserve"> KM,</w:t>
      </w:r>
      <w:r w:rsidR="00287DAD" w:rsidRPr="000E7C26">
        <w:rPr>
          <w:rFonts w:ascii="Cambria" w:hAnsi="Cambria" w:cs="Times New Roman"/>
          <w:sz w:val="24"/>
          <w:szCs w:val="24"/>
        </w:rPr>
        <w:t xml:space="preserve"> usluge čišćenja prostorija </w:t>
      </w:r>
      <w:r w:rsidR="00837231" w:rsidRPr="000E7C26">
        <w:rPr>
          <w:rFonts w:ascii="Cambria" w:hAnsi="Cambria" w:cs="Times New Roman"/>
          <w:sz w:val="24"/>
          <w:szCs w:val="24"/>
        </w:rPr>
        <w:t>1.</w:t>
      </w:r>
      <w:r w:rsidR="006327EF" w:rsidRPr="000E7C26">
        <w:rPr>
          <w:rFonts w:ascii="Cambria" w:hAnsi="Cambria" w:cs="Times New Roman"/>
          <w:sz w:val="24"/>
          <w:szCs w:val="24"/>
        </w:rPr>
        <w:t>018</w:t>
      </w:r>
      <w:r w:rsidR="001765CA" w:rsidRPr="006327EF">
        <w:rPr>
          <w:rFonts w:ascii="Cambria" w:hAnsi="Cambria" w:cs="Times New Roman"/>
          <w:sz w:val="24"/>
          <w:szCs w:val="24"/>
        </w:rPr>
        <w:t xml:space="preserve"> KM, troškovi prevoda </w:t>
      </w:r>
      <w:r w:rsidR="006327EF" w:rsidRPr="006327EF">
        <w:rPr>
          <w:rFonts w:ascii="Cambria" w:hAnsi="Cambria" w:cs="Times New Roman"/>
          <w:sz w:val="24"/>
          <w:szCs w:val="24"/>
        </w:rPr>
        <w:t>1.805</w:t>
      </w:r>
      <w:r w:rsidR="001765CA" w:rsidRPr="006327EF">
        <w:rPr>
          <w:rFonts w:ascii="Cambria" w:hAnsi="Cambria" w:cs="Times New Roman"/>
          <w:sz w:val="24"/>
          <w:szCs w:val="24"/>
        </w:rPr>
        <w:t xml:space="preserve"> KM, </w:t>
      </w:r>
      <w:r w:rsidR="00763FB5" w:rsidRPr="006327EF">
        <w:rPr>
          <w:rFonts w:ascii="Cambria" w:hAnsi="Cambria" w:cs="Times New Roman"/>
          <w:sz w:val="24"/>
          <w:szCs w:val="24"/>
        </w:rPr>
        <w:t>iznajmljivanje kopir aparata 1</w:t>
      </w:r>
      <w:r w:rsidR="006327EF" w:rsidRPr="006327EF">
        <w:rPr>
          <w:rFonts w:ascii="Cambria" w:hAnsi="Cambria" w:cs="Times New Roman"/>
          <w:sz w:val="24"/>
          <w:szCs w:val="24"/>
        </w:rPr>
        <w:t>7</w:t>
      </w:r>
      <w:r w:rsidR="00763FB5" w:rsidRPr="006327EF">
        <w:rPr>
          <w:rFonts w:ascii="Cambria" w:hAnsi="Cambria" w:cs="Times New Roman"/>
          <w:sz w:val="24"/>
          <w:szCs w:val="24"/>
        </w:rPr>
        <w:t>7 KM</w:t>
      </w:r>
      <w:r w:rsidR="003442BD">
        <w:rPr>
          <w:rFonts w:ascii="Cambria" w:hAnsi="Cambria" w:cs="Times New Roman"/>
          <w:sz w:val="24"/>
          <w:szCs w:val="24"/>
        </w:rPr>
        <w:t>, troškovi amortizacije 510 KM</w:t>
      </w:r>
      <w:r w:rsidR="00763FB5" w:rsidRPr="008775D5">
        <w:rPr>
          <w:rFonts w:ascii="Cambria" w:hAnsi="Cambria" w:cs="Times New Roman"/>
          <w:sz w:val="24"/>
          <w:szCs w:val="24"/>
        </w:rPr>
        <w:t>.</w:t>
      </w:r>
    </w:p>
    <w:p w14:paraId="646D28DE" w14:textId="77777777" w:rsidR="00D254BB" w:rsidRPr="008775D5" w:rsidRDefault="00D254BB" w:rsidP="003745D5">
      <w:pPr>
        <w:jc w:val="both"/>
        <w:rPr>
          <w:rFonts w:ascii="Cambria" w:hAnsi="Cambria" w:cs="Times New Roman"/>
          <w:sz w:val="24"/>
          <w:szCs w:val="24"/>
        </w:rPr>
      </w:pPr>
    </w:p>
    <w:tbl>
      <w:tblPr>
        <w:tblW w:w="9398" w:type="dxa"/>
        <w:tblInd w:w="113" w:type="dxa"/>
        <w:tblLook w:val="04A0" w:firstRow="1" w:lastRow="0" w:firstColumn="1" w:lastColumn="0" w:noHBand="0" w:noVBand="1"/>
      </w:tblPr>
      <w:tblGrid>
        <w:gridCol w:w="6374"/>
        <w:gridCol w:w="1559"/>
        <w:gridCol w:w="1465"/>
      </w:tblGrid>
      <w:tr w:rsidR="00AE3434" w:rsidRPr="00BD0889" w14:paraId="7FD9C145" w14:textId="77777777" w:rsidTr="00AE3434">
        <w:trPr>
          <w:trHeight w:val="315"/>
        </w:trPr>
        <w:tc>
          <w:tcPr>
            <w:tcW w:w="6374" w:type="dxa"/>
            <w:tcBorders>
              <w:top w:val="single" w:sz="4" w:space="0" w:color="auto"/>
              <w:left w:val="single" w:sz="4" w:space="0" w:color="auto"/>
              <w:bottom w:val="single" w:sz="4" w:space="0" w:color="auto"/>
              <w:right w:val="single" w:sz="4" w:space="0" w:color="auto"/>
            </w:tcBorders>
            <w:shd w:val="clear" w:color="auto" w:fill="auto"/>
            <w:noWrap/>
            <w:hideMark/>
          </w:tcPr>
          <w:p w14:paraId="3F33F1A3" w14:textId="17EB406B" w:rsidR="00AE3434" w:rsidRPr="00AE3434" w:rsidRDefault="00AE3434" w:rsidP="00AE3434">
            <w:pPr>
              <w:spacing w:after="0" w:line="240" w:lineRule="auto"/>
              <w:jc w:val="center"/>
              <w:rPr>
                <w:rFonts w:ascii="Cambria" w:eastAsia="Times New Roman" w:hAnsi="Cambria" w:cs="Calibri"/>
                <w:b/>
                <w:bCs/>
                <w:noProof/>
                <w:color w:val="000000"/>
                <w:sz w:val="20"/>
                <w:szCs w:val="20"/>
                <w:lang w:val="sr-Latn-BA" w:eastAsia="sr-Latn-BA"/>
              </w:rPr>
            </w:pPr>
            <w:r w:rsidRPr="00AE3434">
              <w:rPr>
                <w:rFonts w:ascii="Cambria" w:hAnsi="Cambria"/>
                <w:b/>
                <w:bCs/>
                <w:sz w:val="20"/>
                <w:szCs w:val="20"/>
              </w:rPr>
              <w:lastRenderedPageBreak/>
              <w:t>Opis</w:t>
            </w:r>
          </w:p>
        </w:tc>
        <w:tc>
          <w:tcPr>
            <w:tcW w:w="1559" w:type="dxa"/>
            <w:tcBorders>
              <w:top w:val="single" w:sz="4" w:space="0" w:color="auto"/>
              <w:left w:val="nil"/>
              <w:bottom w:val="single" w:sz="4" w:space="0" w:color="auto"/>
              <w:right w:val="single" w:sz="4" w:space="0" w:color="auto"/>
            </w:tcBorders>
            <w:shd w:val="clear" w:color="auto" w:fill="auto"/>
            <w:noWrap/>
            <w:hideMark/>
          </w:tcPr>
          <w:p w14:paraId="46C9D733" w14:textId="07D41DBC" w:rsidR="00AE3434" w:rsidRPr="00AE3434" w:rsidRDefault="00AE3434" w:rsidP="00AE3434">
            <w:pPr>
              <w:spacing w:after="0" w:line="240" w:lineRule="auto"/>
              <w:jc w:val="center"/>
              <w:rPr>
                <w:rFonts w:ascii="Cambria" w:eastAsia="Times New Roman" w:hAnsi="Cambria" w:cs="Calibri"/>
                <w:b/>
                <w:bCs/>
                <w:noProof/>
                <w:color w:val="000000"/>
                <w:sz w:val="20"/>
                <w:szCs w:val="20"/>
                <w:lang w:val="sr-Latn-BA" w:eastAsia="sr-Latn-BA"/>
              </w:rPr>
            </w:pPr>
            <w:r w:rsidRPr="00AE3434">
              <w:rPr>
                <w:rFonts w:ascii="Cambria" w:hAnsi="Cambria"/>
                <w:b/>
                <w:bCs/>
                <w:sz w:val="20"/>
                <w:szCs w:val="20"/>
              </w:rPr>
              <w:t>30.06.202</w:t>
            </w:r>
            <w:r>
              <w:rPr>
                <w:rFonts w:ascii="Cambria" w:hAnsi="Cambria"/>
                <w:b/>
                <w:bCs/>
                <w:sz w:val="20"/>
                <w:szCs w:val="20"/>
              </w:rPr>
              <w:t>3</w:t>
            </w:r>
          </w:p>
        </w:tc>
        <w:tc>
          <w:tcPr>
            <w:tcW w:w="1465" w:type="dxa"/>
            <w:tcBorders>
              <w:top w:val="single" w:sz="4" w:space="0" w:color="auto"/>
              <w:left w:val="nil"/>
              <w:bottom w:val="single" w:sz="4" w:space="0" w:color="auto"/>
              <w:right w:val="single" w:sz="4" w:space="0" w:color="auto"/>
            </w:tcBorders>
            <w:shd w:val="clear" w:color="auto" w:fill="auto"/>
            <w:noWrap/>
            <w:hideMark/>
          </w:tcPr>
          <w:p w14:paraId="4851A953" w14:textId="5D63A287" w:rsidR="00AE3434" w:rsidRPr="00AE3434" w:rsidRDefault="00AE3434" w:rsidP="00AE3434">
            <w:pPr>
              <w:spacing w:after="0" w:line="240" w:lineRule="auto"/>
              <w:jc w:val="center"/>
              <w:rPr>
                <w:rFonts w:ascii="Cambria" w:eastAsia="Times New Roman" w:hAnsi="Cambria" w:cs="Calibri"/>
                <w:b/>
                <w:bCs/>
                <w:noProof/>
                <w:color w:val="000000"/>
                <w:sz w:val="20"/>
                <w:szCs w:val="20"/>
                <w:lang w:val="sr-Latn-BA" w:eastAsia="sr-Latn-BA"/>
              </w:rPr>
            </w:pPr>
            <w:r w:rsidRPr="00AE3434">
              <w:rPr>
                <w:b/>
                <w:bCs/>
              </w:rPr>
              <w:t>30.06.2022</w:t>
            </w:r>
          </w:p>
        </w:tc>
      </w:tr>
      <w:tr w:rsidR="00AE3434" w:rsidRPr="00BD0889" w14:paraId="730E77E1" w14:textId="77777777" w:rsidTr="000E7C26">
        <w:trPr>
          <w:trHeight w:val="315"/>
        </w:trPr>
        <w:tc>
          <w:tcPr>
            <w:tcW w:w="6374" w:type="dxa"/>
            <w:tcBorders>
              <w:top w:val="nil"/>
              <w:left w:val="single" w:sz="4" w:space="0" w:color="auto"/>
              <w:bottom w:val="single" w:sz="4" w:space="0" w:color="auto"/>
              <w:right w:val="single" w:sz="4" w:space="0" w:color="auto"/>
            </w:tcBorders>
            <w:shd w:val="clear" w:color="auto" w:fill="auto"/>
            <w:noWrap/>
            <w:hideMark/>
          </w:tcPr>
          <w:p w14:paraId="5FD87863" w14:textId="0D42B59A" w:rsidR="00AE3434" w:rsidRPr="00AE3434" w:rsidRDefault="00AE3434" w:rsidP="00AE3434">
            <w:pPr>
              <w:spacing w:after="0" w:line="240" w:lineRule="auto"/>
              <w:rPr>
                <w:rFonts w:ascii="Cambria" w:eastAsia="Times New Roman" w:hAnsi="Cambria" w:cs="Calibri"/>
                <w:noProof/>
                <w:color w:val="000000"/>
                <w:sz w:val="20"/>
                <w:szCs w:val="20"/>
                <w:lang w:val="sr-Latn-BA" w:eastAsia="sr-Latn-BA"/>
              </w:rPr>
            </w:pPr>
            <w:r w:rsidRPr="00AE3434">
              <w:rPr>
                <w:rFonts w:ascii="Cambria" w:hAnsi="Cambria"/>
                <w:sz w:val="20"/>
                <w:szCs w:val="20"/>
              </w:rPr>
              <w:t>Troškovi neproizvodnih usluga</w:t>
            </w:r>
          </w:p>
        </w:tc>
        <w:tc>
          <w:tcPr>
            <w:tcW w:w="1559" w:type="dxa"/>
            <w:tcBorders>
              <w:top w:val="nil"/>
              <w:left w:val="nil"/>
              <w:bottom w:val="single" w:sz="4" w:space="0" w:color="auto"/>
              <w:right w:val="single" w:sz="4" w:space="0" w:color="auto"/>
            </w:tcBorders>
            <w:shd w:val="clear" w:color="auto" w:fill="auto"/>
            <w:noWrap/>
          </w:tcPr>
          <w:p w14:paraId="0E8F65C7" w14:textId="582571BD" w:rsidR="00AE3434" w:rsidRPr="00AE3434" w:rsidRDefault="00DA1DB3" w:rsidP="00AE3434">
            <w:pPr>
              <w:spacing w:after="0" w:line="240" w:lineRule="auto"/>
              <w:jc w:val="center"/>
              <w:rPr>
                <w:rFonts w:ascii="Cambria" w:eastAsia="Times New Roman" w:hAnsi="Cambria" w:cs="Calibri"/>
                <w:noProof/>
                <w:color w:val="000000"/>
                <w:sz w:val="20"/>
                <w:szCs w:val="20"/>
                <w:lang w:val="sr-Latn-BA" w:eastAsia="sr-Latn-BA"/>
              </w:rPr>
            </w:pPr>
            <w:r w:rsidRPr="006327EF">
              <w:rPr>
                <w:rFonts w:ascii="Cambria" w:eastAsia="Times New Roman" w:hAnsi="Cambria" w:cs="Calibri"/>
                <w:noProof/>
                <w:sz w:val="20"/>
                <w:szCs w:val="20"/>
                <w:lang w:val="sr-Latn-BA" w:eastAsia="sr-Latn-BA"/>
              </w:rPr>
              <w:t>3</w:t>
            </w:r>
            <w:r w:rsidR="003442BD">
              <w:rPr>
                <w:rFonts w:ascii="Cambria" w:eastAsia="Times New Roman" w:hAnsi="Cambria" w:cs="Calibri"/>
                <w:noProof/>
                <w:sz w:val="20"/>
                <w:szCs w:val="20"/>
                <w:lang w:val="sr-Latn-BA" w:eastAsia="sr-Latn-BA"/>
              </w:rPr>
              <w:t>4</w:t>
            </w:r>
            <w:r w:rsidRPr="006327EF">
              <w:rPr>
                <w:rFonts w:ascii="Cambria" w:eastAsia="Times New Roman" w:hAnsi="Cambria" w:cs="Calibri"/>
                <w:noProof/>
                <w:sz w:val="20"/>
                <w:szCs w:val="20"/>
                <w:lang w:val="sr-Latn-BA" w:eastAsia="sr-Latn-BA"/>
              </w:rPr>
              <w:t>.</w:t>
            </w:r>
            <w:r w:rsidR="003442BD">
              <w:rPr>
                <w:rFonts w:ascii="Cambria" w:eastAsia="Times New Roman" w:hAnsi="Cambria" w:cs="Calibri"/>
                <w:noProof/>
                <w:sz w:val="20"/>
                <w:szCs w:val="20"/>
                <w:lang w:val="sr-Latn-BA" w:eastAsia="sr-Latn-BA"/>
              </w:rPr>
              <w:t>398</w:t>
            </w:r>
          </w:p>
        </w:tc>
        <w:tc>
          <w:tcPr>
            <w:tcW w:w="1465" w:type="dxa"/>
            <w:tcBorders>
              <w:top w:val="nil"/>
              <w:left w:val="nil"/>
              <w:bottom w:val="single" w:sz="4" w:space="0" w:color="auto"/>
              <w:right w:val="single" w:sz="4" w:space="0" w:color="auto"/>
            </w:tcBorders>
            <w:shd w:val="clear" w:color="auto" w:fill="auto"/>
            <w:noWrap/>
            <w:hideMark/>
          </w:tcPr>
          <w:p w14:paraId="2E4047C7" w14:textId="2060B5DE" w:rsidR="00AE3434" w:rsidRPr="00AE3434" w:rsidRDefault="00AE3434" w:rsidP="00AE3434">
            <w:pPr>
              <w:spacing w:after="0" w:line="240" w:lineRule="auto"/>
              <w:jc w:val="center"/>
              <w:rPr>
                <w:rFonts w:ascii="Cambria" w:eastAsia="Times New Roman" w:hAnsi="Cambria" w:cs="Calibri"/>
                <w:noProof/>
                <w:color w:val="000000"/>
                <w:sz w:val="20"/>
                <w:szCs w:val="20"/>
                <w:lang w:val="sr-Latn-BA" w:eastAsia="sr-Latn-BA"/>
              </w:rPr>
            </w:pPr>
            <w:r w:rsidRPr="00AC4BD7">
              <w:t>59.917</w:t>
            </w:r>
          </w:p>
        </w:tc>
      </w:tr>
      <w:tr w:rsidR="00AE3434" w:rsidRPr="00BD0889" w14:paraId="489AA925" w14:textId="77777777" w:rsidTr="00AE3434">
        <w:trPr>
          <w:trHeight w:val="315"/>
        </w:trPr>
        <w:tc>
          <w:tcPr>
            <w:tcW w:w="6374" w:type="dxa"/>
            <w:tcBorders>
              <w:top w:val="nil"/>
              <w:left w:val="single" w:sz="4" w:space="0" w:color="auto"/>
              <w:bottom w:val="single" w:sz="4" w:space="0" w:color="auto"/>
              <w:right w:val="single" w:sz="4" w:space="0" w:color="auto"/>
            </w:tcBorders>
            <w:shd w:val="clear" w:color="auto" w:fill="auto"/>
            <w:noWrap/>
            <w:hideMark/>
          </w:tcPr>
          <w:p w14:paraId="0D19E3BC" w14:textId="494CCF97" w:rsidR="00AE3434" w:rsidRPr="00AE3434" w:rsidRDefault="00AE3434" w:rsidP="00AE3434">
            <w:pPr>
              <w:spacing w:after="0" w:line="240" w:lineRule="auto"/>
              <w:rPr>
                <w:rFonts w:ascii="Cambria" w:eastAsia="Times New Roman" w:hAnsi="Cambria" w:cs="Calibri"/>
                <w:noProof/>
                <w:color w:val="000000"/>
                <w:sz w:val="20"/>
                <w:szCs w:val="20"/>
                <w:lang w:val="sr-Latn-BA" w:eastAsia="sr-Latn-BA"/>
              </w:rPr>
            </w:pPr>
            <w:r w:rsidRPr="00AE3434">
              <w:rPr>
                <w:rFonts w:ascii="Cambria" w:hAnsi="Cambria"/>
                <w:sz w:val="20"/>
                <w:szCs w:val="20"/>
              </w:rPr>
              <w:t>Troškovi reprezentacije</w:t>
            </w:r>
          </w:p>
        </w:tc>
        <w:tc>
          <w:tcPr>
            <w:tcW w:w="1559" w:type="dxa"/>
            <w:tcBorders>
              <w:top w:val="nil"/>
              <w:left w:val="nil"/>
              <w:bottom w:val="single" w:sz="4" w:space="0" w:color="auto"/>
              <w:right w:val="single" w:sz="4" w:space="0" w:color="auto"/>
            </w:tcBorders>
            <w:shd w:val="clear" w:color="auto" w:fill="auto"/>
            <w:noWrap/>
          </w:tcPr>
          <w:p w14:paraId="3542537A" w14:textId="176A9138" w:rsidR="00AE3434" w:rsidRPr="00AE3434" w:rsidRDefault="007A62C6" w:rsidP="00AE3434">
            <w:pPr>
              <w:spacing w:after="0" w:line="240" w:lineRule="auto"/>
              <w:jc w:val="center"/>
              <w:rPr>
                <w:rFonts w:ascii="Cambria" w:eastAsia="Times New Roman" w:hAnsi="Cambria" w:cs="Calibri"/>
                <w:noProof/>
                <w:color w:val="000000"/>
                <w:sz w:val="20"/>
                <w:szCs w:val="20"/>
                <w:lang w:val="sr-Latn-BA" w:eastAsia="sr-Latn-BA"/>
              </w:rPr>
            </w:pPr>
            <w:r>
              <w:rPr>
                <w:rFonts w:ascii="Cambria" w:eastAsia="Times New Roman" w:hAnsi="Cambria" w:cs="Calibri"/>
                <w:noProof/>
                <w:color w:val="000000"/>
                <w:sz w:val="20"/>
                <w:szCs w:val="20"/>
                <w:lang w:val="sr-Latn-BA" w:eastAsia="sr-Latn-BA"/>
              </w:rPr>
              <w:t>710</w:t>
            </w:r>
          </w:p>
        </w:tc>
        <w:tc>
          <w:tcPr>
            <w:tcW w:w="1465" w:type="dxa"/>
            <w:tcBorders>
              <w:top w:val="nil"/>
              <w:left w:val="nil"/>
              <w:bottom w:val="single" w:sz="4" w:space="0" w:color="auto"/>
              <w:right w:val="single" w:sz="4" w:space="0" w:color="auto"/>
            </w:tcBorders>
            <w:shd w:val="clear" w:color="auto" w:fill="auto"/>
            <w:noWrap/>
            <w:hideMark/>
          </w:tcPr>
          <w:p w14:paraId="4C89414B" w14:textId="2E98FEF5" w:rsidR="00AE3434" w:rsidRPr="00AE3434" w:rsidRDefault="00AE3434" w:rsidP="00AE3434">
            <w:pPr>
              <w:spacing w:after="0" w:line="240" w:lineRule="auto"/>
              <w:jc w:val="center"/>
              <w:rPr>
                <w:rFonts w:ascii="Cambria" w:eastAsia="Times New Roman" w:hAnsi="Cambria" w:cs="Calibri"/>
                <w:noProof/>
                <w:color w:val="000000"/>
                <w:sz w:val="20"/>
                <w:szCs w:val="20"/>
                <w:lang w:val="sr-Latn-BA" w:eastAsia="sr-Latn-BA"/>
              </w:rPr>
            </w:pPr>
            <w:r w:rsidRPr="00AC4BD7">
              <w:t>560</w:t>
            </w:r>
          </w:p>
        </w:tc>
      </w:tr>
      <w:tr w:rsidR="00AE3434" w:rsidRPr="00BD0889" w14:paraId="7B1E3ABA" w14:textId="77777777" w:rsidTr="00AE3434">
        <w:trPr>
          <w:trHeight w:val="315"/>
        </w:trPr>
        <w:tc>
          <w:tcPr>
            <w:tcW w:w="6374" w:type="dxa"/>
            <w:tcBorders>
              <w:top w:val="nil"/>
              <w:left w:val="single" w:sz="4" w:space="0" w:color="auto"/>
              <w:bottom w:val="single" w:sz="4" w:space="0" w:color="auto"/>
              <w:right w:val="single" w:sz="4" w:space="0" w:color="auto"/>
            </w:tcBorders>
            <w:shd w:val="clear" w:color="auto" w:fill="auto"/>
            <w:noWrap/>
            <w:hideMark/>
          </w:tcPr>
          <w:p w14:paraId="7057D48B" w14:textId="28F99E77" w:rsidR="00AE3434" w:rsidRPr="00AE3434" w:rsidRDefault="00AE3434" w:rsidP="00AE3434">
            <w:pPr>
              <w:spacing w:after="0" w:line="240" w:lineRule="auto"/>
              <w:rPr>
                <w:rFonts w:ascii="Cambria" w:eastAsia="Times New Roman" w:hAnsi="Cambria" w:cs="Calibri"/>
                <w:noProof/>
                <w:color w:val="000000"/>
                <w:sz w:val="20"/>
                <w:szCs w:val="20"/>
                <w:lang w:val="sr-Latn-BA" w:eastAsia="sr-Latn-BA"/>
              </w:rPr>
            </w:pPr>
            <w:r w:rsidRPr="00AE3434">
              <w:rPr>
                <w:rFonts w:ascii="Cambria" w:hAnsi="Cambria"/>
                <w:sz w:val="20"/>
                <w:szCs w:val="20"/>
              </w:rPr>
              <w:t>Troškovi sudskih , administrativnih i drugih taksa i naknada</w:t>
            </w:r>
          </w:p>
        </w:tc>
        <w:tc>
          <w:tcPr>
            <w:tcW w:w="1559" w:type="dxa"/>
            <w:tcBorders>
              <w:top w:val="nil"/>
              <w:left w:val="nil"/>
              <w:bottom w:val="single" w:sz="4" w:space="0" w:color="auto"/>
              <w:right w:val="single" w:sz="4" w:space="0" w:color="auto"/>
            </w:tcBorders>
            <w:shd w:val="clear" w:color="auto" w:fill="auto"/>
            <w:noWrap/>
          </w:tcPr>
          <w:p w14:paraId="7481CC1C" w14:textId="3B447139" w:rsidR="00AE3434" w:rsidRPr="00AE3434" w:rsidRDefault="007A62C6" w:rsidP="00AE3434">
            <w:pPr>
              <w:spacing w:after="0" w:line="240" w:lineRule="auto"/>
              <w:jc w:val="center"/>
              <w:rPr>
                <w:rFonts w:ascii="Cambria" w:eastAsia="Times New Roman" w:hAnsi="Cambria" w:cs="Calibri"/>
                <w:noProof/>
                <w:color w:val="000000"/>
                <w:sz w:val="20"/>
                <w:szCs w:val="20"/>
                <w:lang w:val="sr-Latn-BA" w:eastAsia="sr-Latn-BA"/>
              </w:rPr>
            </w:pPr>
            <w:r>
              <w:rPr>
                <w:rFonts w:ascii="Cambria" w:eastAsia="Times New Roman" w:hAnsi="Cambria" w:cs="Calibri"/>
                <w:noProof/>
                <w:color w:val="000000"/>
                <w:sz w:val="20"/>
                <w:szCs w:val="20"/>
                <w:lang w:val="sr-Latn-BA" w:eastAsia="sr-Latn-BA"/>
              </w:rPr>
              <w:t>488</w:t>
            </w:r>
          </w:p>
        </w:tc>
        <w:tc>
          <w:tcPr>
            <w:tcW w:w="1465" w:type="dxa"/>
            <w:tcBorders>
              <w:top w:val="nil"/>
              <w:left w:val="nil"/>
              <w:bottom w:val="single" w:sz="4" w:space="0" w:color="auto"/>
              <w:right w:val="single" w:sz="4" w:space="0" w:color="auto"/>
            </w:tcBorders>
            <w:shd w:val="clear" w:color="auto" w:fill="auto"/>
            <w:noWrap/>
            <w:hideMark/>
          </w:tcPr>
          <w:p w14:paraId="32803281" w14:textId="5F6B39B9" w:rsidR="00AE3434" w:rsidRPr="00AE3434" w:rsidRDefault="00AE3434" w:rsidP="00AE3434">
            <w:pPr>
              <w:spacing w:after="0" w:line="240" w:lineRule="auto"/>
              <w:jc w:val="center"/>
              <w:rPr>
                <w:rFonts w:ascii="Cambria" w:eastAsia="Times New Roman" w:hAnsi="Cambria" w:cs="Calibri"/>
                <w:noProof/>
                <w:color w:val="000000"/>
                <w:sz w:val="20"/>
                <w:szCs w:val="20"/>
                <w:lang w:val="sr-Latn-BA" w:eastAsia="sr-Latn-BA"/>
              </w:rPr>
            </w:pPr>
            <w:r w:rsidRPr="00AC4BD7">
              <w:t>7.354</w:t>
            </w:r>
          </w:p>
        </w:tc>
      </w:tr>
      <w:tr w:rsidR="00AE3434" w:rsidRPr="00BD0889" w14:paraId="2B8775D6" w14:textId="77777777" w:rsidTr="00AE3434">
        <w:trPr>
          <w:trHeight w:val="315"/>
        </w:trPr>
        <w:tc>
          <w:tcPr>
            <w:tcW w:w="6374" w:type="dxa"/>
            <w:tcBorders>
              <w:top w:val="nil"/>
              <w:left w:val="single" w:sz="4" w:space="0" w:color="auto"/>
              <w:bottom w:val="single" w:sz="4" w:space="0" w:color="auto"/>
              <w:right w:val="single" w:sz="4" w:space="0" w:color="auto"/>
            </w:tcBorders>
            <w:shd w:val="clear" w:color="auto" w:fill="auto"/>
            <w:noWrap/>
            <w:hideMark/>
          </w:tcPr>
          <w:p w14:paraId="51BFF6CB" w14:textId="41A311F9" w:rsidR="00AE3434" w:rsidRPr="00AE3434" w:rsidRDefault="00AE3434" w:rsidP="00AE3434">
            <w:pPr>
              <w:spacing w:after="0" w:line="240" w:lineRule="auto"/>
              <w:rPr>
                <w:rFonts w:ascii="Cambria" w:eastAsia="Times New Roman" w:hAnsi="Cambria" w:cs="Calibri"/>
                <w:noProof/>
                <w:color w:val="000000"/>
                <w:sz w:val="20"/>
                <w:szCs w:val="20"/>
                <w:lang w:val="sr-Latn-BA" w:eastAsia="sr-Latn-BA"/>
              </w:rPr>
            </w:pPr>
            <w:r w:rsidRPr="00AE3434">
              <w:rPr>
                <w:rFonts w:ascii="Cambria" w:hAnsi="Cambria"/>
                <w:sz w:val="20"/>
                <w:szCs w:val="20"/>
              </w:rPr>
              <w:t>Kamate po ostalim obavezama</w:t>
            </w:r>
          </w:p>
        </w:tc>
        <w:tc>
          <w:tcPr>
            <w:tcW w:w="1559" w:type="dxa"/>
            <w:tcBorders>
              <w:top w:val="nil"/>
              <w:left w:val="nil"/>
              <w:bottom w:val="single" w:sz="4" w:space="0" w:color="auto"/>
              <w:right w:val="single" w:sz="4" w:space="0" w:color="auto"/>
            </w:tcBorders>
            <w:shd w:val="clear" w:color="auto" w:fill="auto"/>
            <w:noWrap/>
          </w:tcPr>
          <w:p w14:paraId="4C6BA216" w14:textId="70C65907" w:rsidR="00AE3434" w:rsidRPr="00AE3434" w:rsidRDefault="007A62C6" w:rsidP="00AE3434">
            <w:pPr>
              <w:spacing w:after="0" w:line="240" w:lineRule="auto"/>
              <w:jc w:val="center"/>
              <w:rPr>
                <w:rFonts w:ascii="Cambria" w:eastAsia="Times New Roman" w:hAnsi="Cambria" w:cs="Calibri"/>
                <w:noProof/>
                <w:color w:val="000000"/>
                <w:sz w:val="20"/>
                <w:szCs w:val="20"/>
                <w:lang w:val="sr-Latn-BA" w:eastAsia="sr-Latn-BA"/>
              </w:rPr>
            </w:pPr>
            <w:r>
              <w:rPr>
                <w:rFonts w:ascii="Cambria" w:eastAsia="Times New Roman" w:hAnsi="Cambria" w:cs="Calibri"/>
                <w:noProof/>
                <w:color w:val="000000"/>
                <w:sz w:val="20"/>
                <w:szCs w:val="20"/>
                <w:lang w:val="sr-Latn-BA" w:eastAsia="sr-Latn-BA"/>
              </w:rPr>
              <w:t>1665</w:t>
            </w:r>
          </w:p>
        </w:tc>
        <w:tc>
          <w:tcPr>
            <w:tcW w:w="1465" w:type="dxa"/>
            <w:tcBorders>
              <w:top w:val="nil"/>
              <w:left w:val="nil"/>
              <w:bottom w:val="single" w:sz="4" w:space="0" w:color="auto"/>
              <w:right w:val="single" w:sz="4" w:space="0" w:color="auto"/>
            </w:tcBorders>
            <w:shd w:val="clear" w:color="auto" w:fill="auto"/>
            <w:noWrap/>
            <w:hideMark/>
          </w:tcPr>
          <w:p w14:paraId="583605C0" w14:textId="2F924F51" w:rsidR="00AE3434" w:rsidRPr="00AE3434" w:rsidRDefault="00AE3434" w:rsidP="00AE3434">
            <w:pPr>
              <w:spacing w:after="0" w:line="240" w:lineRule="auto"/>
              <w:jc w:val="center"/>
              <w:rPr>
                <w:rFonts w:ascii="Cambria" w:eastAsia="Times New Roman" w:hAnsi="Cambria" w:cs="Calibri"/>
                <w:noProof/>
                <w:color w:val="000000"/>
                <w:sz w:val="20"/>
                <w:szCs w:val="20"/>
                <w:lang w:val="sr-Latn-BA" w:eastAsia="sr-Latn-BA"/>
              </w:rPr>
            </w:pPr>
          </w:p>
        </w:tc>
      </w:tr>
      <w:tr w:rsidR="00AE3434" w:rsidRPr="00BD0889" w14:paraId="7E8EDECD" w14:textId="77777777" w:rsidTr="000E7C26">
        <w:trPr>
          <w:trHeight w:val="315"/>
        </w:trPr>
        <w:tc>
          <w:tcPr>
            <w:tcW w:w="6374" w:type="dxa"/>
            <w:tcBorders>
              <w:top w:val="nil"/>
              <w:left w:val="single" w:sz="4" w:space="0" w:color="auto"/>
              <w:bottom w:val="single" w:sz="4" w:space="0" w:color="auto"/>
              <w:right w:val="single" w:sz="4" w:space="0" w:color="auto"/>
            </w:tcBorders>
            <w:shd w:val="clear" w:color="auto" w:fill="auto"/>
            <w:noWrap/>
            <w:hideMark/>
          </w:tcPr>
          <w:p w14:paraId="06C0597A" w14:textId="72964729" w:rsidR="00AE3434" w:rsidRPr="00AE3434" w:rsidRDefault="00AE3434" w:rsidP="00AE3434">
            <w:pPr>
              <w:spacing w:after="0" w:line="240" w:lineRule="auto"/>
              <w:rPr>
                <w:rFonts w:ascii="Cambria" w:eastAsia="Times New Roman" w:hAnsi="Cambria" w:cs="Calibri"/>
                <w:b/>
                <w:bCs/>
                <w:noProof/>
                <w:color w:val="000000"/>
                <w:sz w:val="20"/>
                <w:szCs w:val="20"/>
                <w:lang w:val="sr-Latn-BA" w:eastAsia="sr-Latn-BA"/>
              </w:rPr>
            </w:pPr>
            <w:r w:rsidRPr="00AE3434">
              <w:rPr>
                <w:rFonts w:ascii="Cambria" w:hAnsi="Cambria"/>
                <w:b/>
                <w:bCs/>
                <w:sz w:val="20"/>
                <w:szCs w:val="20"/>
              </w:rPr>
              <w:t>UKUPNO</w:t>
            </w:r>
          </w:p>
        </w:tc>
        <w:tc>
          <w:tcPr>
            <w:tcW w:w="1559" w:type="dxa"/>
            <w:tcBorders>
              <w:top w:val="nil"/>
              <w:left w:val="nil"/>
              <w:bottom w:val="single" w:sz="4" w:space="0" w:color="auto"/>
              <w:right w:val="single" w:sz="4" w:space="0" w:color="auto"/>
            </w:tcBorders>
            <w:shd w:val="clear" w:color="auto" w:fill="auto"/>
            <w:noWrap/>
          </w:tcPr>
          <w:p w14:paraId="1C3562C8" w14:textId="2747470F" w:rsidR="00AE3434" w:rsidRPr="00AE3434" w:rsidRDefault="0020379F" w:rsidP="00AE3434">
            <w:pPr>
              <w:spacing w:after="0" w:line="240" w:lineRule="auto"/>
              <w:jc w:val="center"/>
              <w:rPr>
                <w:rFonts w:ascii="Cambria" w:eastAsia="Times New Roman" w:hAnsi="Cambria" w:cs="Calibri"/>
                <w:b/>
                <w:bCs/>
                <w:noProof/>
                <w:color w:val="000000"/>
                <w:sz w:val="20"/>
                <w:szCs w:val="20"/>
                <w:lang w:val="sr-Latn-BA" w:eastAsia="sr-Latn-BA"/>
              </w:rPr>
            </w:pPr>
            <w:r>
              <w:rPr>
                <w:rFonts w:ascii="Cambria" w:eastAsia="Times New Roman" w:hAnsi="Cambria" w:cs="Calibri"/>
                <w:b/>
                <w:bCs/>
                <w:noProof/>
                <w:color w:val="000000"/>
                <w:sz w:val="20"/>
                <w:szCs w:val="20"/>
                <w:lang w:val="sr-Latn-BA" w:eastAsia="sr-Latn-BA"/>
              </w:rPr>
              <w:t>3</w:t>
            </w:r>
            <w:r w:rsidR="003442BD">
              <w:rPr>
                <w:rFonts w:ascii="Cambria" w:eastAsia="Times New Roman" w:hAnsi="Cambria" w:cs="Calibri"/>
                <w:b/>
                <w:bCs/>
                <w:noProof/>
                <w:color w:val="000000"/>
                <w:sz w:val="20"/>
                <w:szCs w:val="20"/>
                <w:lang w:val="sr-Latn-BA" w:eastAsia="sr-Latn-BA"/>
              </w:rPr>
              <w:t>7</w:t>
            </w:r>
            <w:r>
              <w:rPr>
                <w:rFonts w:ascii="Cambria" w:eastAsia="Times New Roman" w:hAnsi="Cambria" w:cs="Calibri"/>
                <w:b/>
                <w:bCs/>
                <w:noProof/>
                <w:color w:val="000000"/>
                <w:sz w:val="20"/>
                <w:szCs w:val="20"/>
                <w:lang w:val="sr-Latn-BA" w:eastAsia="sr-Latn-BA"/>
              </w:rPr>
              <w:t>.</w:t>
            </w:r>
            <w:r w:rsidR="003442BD">
              <w:rPr>
                <w:rFonts w:ascii="Cambria" w:eastAsia="Times New Roman" w:hAnsi="Cambria" w:cs="Calibri"/>
                <w:b/>
                <w:bCs/>
                <w:noProof/>
                <w:color w:val="000000"/>
                <w:sz w:val="20"/>
                <w:szCs w:val="20"/>
                <w:lang w:val="sr-Latn-BA" w:eastAsia="sr-Latn-BA"/>
              </w:rPr>
              <w:t>26</w:t>
            </w:r>
            <w:r>
              <w:rPr>
                <w:rFonts w:ascii="Cambria" w:eastAsia="Times New Roman" w:hAnsi="Cambria" w:cs="Calibri"/>
                <w:b/>
                <w:bCs/>
                <w:noProof/>
                <w:color w:val="000000"/>
                <w:sz w:val="20"/>
                <w:szCs w:val="20"/>
                <w:lang w:val="sr-Latn-BA" w:eastAsia="sr-Latn-BA"/>
              </w:rPr>
              <w:t>1</w:t>
            </w:r>
          </w:p>
        </w:tc>
        <w:tc>
          <w:tcPr>
            <w:tcW w:w="1465" w:type="dxa"/>
            <w:tcBorders>
              <w:top w:val="nil"/>
              <w:left w:val="nil"/>
              <w:bottom w:val="single" w:sz="4" w:space="0" w:color="auto"/>
              <w:right w:val="single" w:sz="4" w:space="0" w:color="auto"/>
            </w:tcBorders>
            <w:shd w:val="clear" w:color="auto" w:fill="auto"/>
            <w:noWrap/>
            <w:hideMark/>
          </w:tcPr>
          <w:p w14:paraId="471B54BE" w14:textId="748219B0" w:rsidR="00AE3434" w:rsidRPr="00AE3434" w:rsidRDefault="00AE3434" w:rsidP="00AE3434">
            <w:pPr>
              <w:spacing w:after="0" w:line="240" w:lineRule="auto"/>
              <w:jc w:val="center"/>
              <w:rPr>
                <w:rFonts w:ascii="Cambria" w:eastAsia="Times New Roman" w:hAnsi="Cambria" w:cs="Calibri"/>
                <w:b/>
                <w:bCs/>
                <w:noProof/>
                <w:color w:val="000000"/>
                <w:sz w:val="20"/>
                <w:szCs w:val="20"/>
                <w:lang w:val="sr-Latn-BA" w:eastAsia="sr-Latn-BA"/>
              </w:rPr>
            </w:pPr>
            <w:r w:rsidRPr="00AE3434">
              <w:rPr>
                <w:b/>
                <w:bCs/>
              </w:rPr>
              <w:t>67.831</w:t>
            </w:r>
          </w:p>
        </w:tc>
      </w:tr>
    </w:tbl>
    <w:p w14:paraId="6AC52068" w14:textId="77777777" w:rsidR="00DA7B79" w:rsidRPr="008775D5" w:rsidRDefault="00DA7B79" w:rsidP="00775E5E">
      <w:pPr>
        <w:spacing w:line="240" w:lineRule="auto"/>
        <w:jc w:val="both"/>
        <w:rPr>
          <w:rFonts w:ascii="Cambria" w:hAnsi="Cambria" w:cs="Times New Roman"/>
          <w:b/>
          <w:sz w:val="24"/>
          <w:szCs w:val="24"/>
        </w:rPr>
      </w:pPr>
    </w:p>
    <w:p w14:paraId="3D83B137" w14:textId="2C92F698" w:rsidR="00BE0D52" w:rsidRPr="008775D5" w:rsidRDefault="00BE0D52" w:rsidP="00775E5E">
      <w:pPr>
        <w:spacing w:line="240" w:lineRule="auto"/>
        <w:jc w:val="both"/>
        <w:rPr>
          <w:rFonts w:ascii="Cambria" w:hAnsi="Cambria" w:cs="Times New Roman"/>
          <w:b/>
          <w:sz w:val="24"/>
          <w:szCs w:val="24"/>
        </w:rPr>
      </w:pPr>
      <w:r w:rsidRPr="008775D5">
        <w:rPr>
          <w:rFonts w:ascii="Cambria" w:hAnsi="Cambria" w:cs="Times New Roman"/>
          <w:b/>
          <w:sz w:val="24"/>
          <w:szCs w:val="24"/>
        </w:rPr>
        <w:t>6. KRATKOROČNA POTRAŽIVANJA</w:t>
      </w:r>
      <w:r w:rsidR="00FA0001">
        <w:rPr>
          <w:rFonts w:ascii="Cambria" w:hAnsi="Cambria" w:cs="Times New Roman"/>
          <w:b/>
          <w:sz w:val="24"/>
          <w:szCs w:val="24"/>
        </w:rPr>
        <w:t xml:space="preserve"> -Napomena 1BS</w:t>
      </w:r>
    </w:p>
    <w:p w14:paraId="476B60AD" w14:textId="4355FA62" w:rsidR="004A6EA3" w:rsidRPr="008775D5" w:rsidRDefault="004A6EA3" w:rsidP="00775E5E">
      <w:pPr>
        <w:spacing w:line="240" w:lineRule="auto"/>
        <w:jc w:val="both"/>
        <w:rPr>
          <w:rFonts w:ascii="Cambria" w:hAnsi="Cambria" w:cs="Times New Roman"/>
          <w:bCs/>
          <w:sz w:val="24"/>
          <w:szCs w:val="24"/>
        </w:rPr>
      </w:pPr>
      <w:r w:rsidRPr="008775D5">
        <w:rPr>
          <w:rFonts w:ascii="Cambria" w:hAnsi="Cambria" w:cs="Times New Roman"/>
          <w:bCs/>
          <w:sz w:val="24"/>
          <w:szCs w:val="24"/>
        </w:rPr>
        <w:t xml:space="preserve">Kratkoročna potraživanja na dan </w:t>
      </w:r>
      <w:r w:rsidRPr="005C1030">
        <w:rPr>
          <w:rFonts w:ascii="Cambria" w:hAnsi="Cambria" w:cs="Times New Roman"/>
          <w:bCs/>
          <w:sz w:val="24"/>
          <w:szCs w:val="24"/>
        </w:rPr>
        <w:t>3</w:t>
      </w:r>
      <w:r w:rsidR="0020379F">
        <w:rPr>
          <w:rFonts w:ascii="Cambria" w:hAnsi="Cambria" w:cs="Times New Roman"/>
          <w:bCs/>
          <w:sz w:val="24"/>
          <w:szCs w:val="24"/>
        </w:rPr>
        <w:t>0</w:t>
      </w:r>
      <w:r w:rsidRPr="005C1030">
        <w:rPr>
          <w:rFonts w:ascii="Cambria" w:hAnsi="Cambria" w:cs="Times New Roman"/>
          <w:bCs/>
          <w:sz w:val="24"/>
          <w:szCs w:val="24"/>
        </w:rPr>
        <w:t>.</w:t>
      </w:r>
      <w:r w:rsidR="0020379F">
        <w:rPr>
          <w:rFonts w:ascii="Cambria" w:hAnsi="Cambria" w:cs="Times New Roman"/>
          <w:bCs/>
          <w:sz w:val="24"/>
          <w:szCs w:val="24"/>
        </w:rPr>
        <w:t>06</w:t>
      </w:r>
      <w:r w:rsidR="002F70D2" w:rsidRPr="005C1030">
        <w:rPr>
          <w:rFonts w:ascii="Cambria" w:hAnsi="Cambria" w:cs="Times New Roman"/>
          <w:bCs/>
          <w:sz w:val="24"/>
          <w:szCs w:val="24"/>
        </w:rPr>
        <w:t>.</w:t>
      </w:r>
      <w:r w:rsidRPr="005C1030">
        <w:rPr>
          <w:rFonts w:ascii="Cambria" w:hAnsi="Cambria" w:cs="Times New Roman"/>
          <w:bCs/>
          <w:sz w:val="24"/>
          <w:szCs w:val="24"/>
        </w:rPr>
        <w:t>202</w:t>
      </w:r>
      <w:r w:rsidR="0020379F">
        <w:rPr>
          <w:rFonts w:ascii="Cambria" w:hAnsi="Cambria" w:cs="Times New Roman"/>
          <w:bCs/>
          <w:sz w:val="24"/>
          <w:szCs w:val="24"/>
        </w:rPr>
        <w:t>3</w:t>
      </w:r>
      <w:r w:rsidRPr="008775D5">
        <w:rPr>
          <w:rFonts w:ascii="Cambria" w:hAnsi="Cambria" w:cs="Times New Roman"/>
          <w:bCs/>
          <w:sz w:val="24"/>
          <w:szCs w:val="24"/>
        </w:rPr>
        <w:t xml:space="preserve">. godine </w:t>
      </w:r>
      <w:r w:rsidR="005C1030">
        <w:rPr>
          <w:rFonts w:ascii="Cambria" w:hAnsi="Cambria" w:cs="Times New Roman"/>
          <w:bCs/>
          <w:sz w:val="24"/>
          <w:szCs w:val="24"/>
        </w:rPr>
        <w:t xml:space="preserve">iznose </w:t>
      </w:r>
      <w:r w:rsidR="00A11FA2" w:rsidRPr="008775D5">
        <w:rPr>
          <w:rFonts w:ascii="Cambria" w:hAnsi="Cambria" w:cs="Times New Roman"/>
          <w:bCs/>
          <w:sz w:val="24"/>
          <w:szCs w:val="24"/>
        </w:rPr>
        <w:t>2</w:t>
      </w:r>
      <w:r w:rsidR="00FD1544">
        <w:rPr>
          <w:rFonts w:ascii="Cambria" w:hAnsi="Cambria" w:cs="Times New Roman"/>
          <w:bCs/>
          <w:sz w:val="24"/>
          <w:szCs w:val="24"/>
        </w:rPr>
        <w:t>42.7</w:t>
      </w:r>
      <w:r w:rsidR="002F70D2" w:rsidRPr="008775D5">
        <w:rPr>
          <w:rFonts w:ascii="Cambria" w:hAnsi="Cambria" w:cs="Times New Roman"/>
          <w:bCs/>
          <w:sz w:val="24"/>
          <w:szCs w:val="24"/>
        </w:rPr>
        <w:t>00</w:t>
      </w:r>
      <w:r w:rsidR="00A11FA2" w:rsidRPr="008775D5">
        <w:rPr>
          <w:rFonts w:ascii="Cambria" w:hAnsi="Cambria" w:cs="Times New Roman"/>
          <w:bCs/>
          <w:sz w:val="24"/>
          <w:szCs w:val="24"/>
        </w:rPr>
        <w:t xml:space="preserve"> KM, od čega je </w:t>
      </w:r>
      <w:r w:rsidR="00FD1544">
        <w:rPr>
          <w:rFonts w:ascii="Cambria" w:hAnsi="Cambria" w:cs="Times New Roman"/>
          <w:bCs/>
          <w:sz w:val="24"/>
          <w:szCs w:val="24"/>
        </w:rPr>
        <w:t>27</w:t>
      </w:r>
      <w:r w:rsidR="002F70D2" w:rsidRPr="008775D5">
        <w:rPr>
          <w:rFonts w:ascii="Cambria" w:hAnsi="Cambria" w:cs="Times New Roman"/>
          <w:bCs/>
          <w:sz w:val="24"/>
          <w:szCs w:val="24"/>
        </w:rPr>
        <w:t>00</w:t>
      </w:r>
      <w:r w:rsidRPr="008775D5">
        <w:rPr>
          <w:rFonts w:ascii="Cambria" w:hAnsi="Cambria" w:cs="Times New Roman"/>
          <w:bCs/>
          <w:sz w:val="24"/>
          <w:szCs w:val="24"/>
        </w:rPr>
        <w:t xml:space="preserve"> KM na ime dužnika MASSIMO HOLDING d.o.o. Sarajevo</w:t>
      </w:r>
      <w:r w:rsidR="00A11FA2" w:rsidRPr="008775D5">
        <w:rPr>
          <w:rFonts w:ascii="Cambria" w:hAnsi="Cambria" w:cs="Times New Roman"/>
          <w:bCs/>
          <w:sz w:val="24"/>
          <w:szCs w:val="24"/>
        </w:rPr>
        <w:t>, a iznos od 240.000 KM je na ime dužnika FEĐA KRIVOŠIĆ  iz Sarajeva.</w:t>
      </w:r>
    </w:p>
    <w:p w14:paraId="602D6E18" w14:textId="20209BB4" w:rsidR="00D31639" w:rsidRPr="008775D5" w:rsidRDefault="005C1030" w:rsidP="00D31639">
      <w:pPr>
        <w:jc w:val="both"/>
        <w:rPr>
          <w:rFonts w:ascii="Cambria" w:eastAsia="Times New Roman" w:hAnsi="Cambria" w:cs="Times New Roman"/>
          <w:sz w:val="24"/>
          <w:szCs w:val="24"/>
          <w:lang w:eastAsia="en-US"/>
        </w:rPr>
      </w:pPr>
      <w:r>
        <w:rPr>
          <w:rFonts w:ascii="Cambria" w:eastAsia="Times New Roman" w:hAnsi="Cambria" w:cs="Times New Roman"/>
          <w:sz w:val="24"/>
          <w:szCs w:val="24"/>
          <w:lang w:eastAsia="en-US"/>
        </w:rPr>
        <w:t>Vodi se s</w:t>
      </w:r>
      <w:r w:rsidR="00D31639" w:rsidRPr="008775D5">
        <w:rPr>
          <w:rFonts w:ascii="Cambria" w:eastAsia="Times New Roman" w:hAnsi="Cambria" w:cs="Times New Roman"/>
          <w:sz w:val="24"/>
          <w:szCs w:val="24"/>
          <w:lang w:eastAsia="en-US"/>
        </w:rPr>
        <w:t>udski spor kod Općinskog suda u Sarajevu broj: 65 0 P 958627 22 P</w:t>
      </w:r>
      <w:r>
        <w:rPr>
          <w:rFonts w:ascii="Cambria" w:eastAsia="Times New Roman" w:hAnsi="Cambria" w:cs="Times New Roman"/>
          <w:sz w:val="24"/>
          <w:szCs w:val="24"/>
          <w:lang w:eastAsia="en-US"/>
        </w:rPr>
        <w:t>,</w:t>
      </w:r>
      <w:r w:rsidR="00D31639" w:rsidRPr="008775D5">
        <w:rPr>
          <w:rFonts w:ascii="Cambria" w:eastAsia="Times New Roman" w:hAnsi="Cambria" w:cs="Times New Roman"/>
          <w:sz w:val="24"/>
          <w:szCs w:val="24"/>
          <w:lang w:eastAsia="en-US"/>
        </w:rPr>
        <w:t xml:space="preserve"> sa Feđom Krivošić</w:t>
      </w:r>
      <w:r>
        <w:rPr>
          <w:rFonts w:ascii="Cambria" w:eastAsia="Times New Roman" w:hAnsi="Cambria" w:cs="Times New Roman"/>
          <w:sz w:val="24"/>
          <w:szCs w:val="24"/>
          <w:lang w:eastAsia="en-US"/>
        </w:rPr>
        <w:t>em</w:t>
      </w:r>
      <w:r w:rsidR="00D31639" w:rsidRPr="008775D5">
        <w:rPr>
          <w:rFonts w:ascii="Cambria" w:eastAsia="Times New Roman" w:hAnsi="Cambria" w:cs="Times New Roman"/>
          <w:sz w:val="24"/>
          <w:szCs w:val="24"/>
          <w:lang w:eastAsia="en-US"/>
        </w:rPr>
        <w:t xml:space="preserve"> zbog namirenja dospjelog duga od 240.000,00 KM.</w:t>
      </w:r>
    </w:p>
    <w:p w14:paraId="26B1D0B7" w14:textId="46F69601" w:rsidR="0057026F" w:rsidRPr="008775D5" w:rsidRDefault="0057026F" w:rsidP="00775E5E">
      <w:pPr>
        <w:spacing w:line="240" w:lineRule="auto"/>
        <w:jc w:val="both"/>
        <w:rPr>
          <w:rFonts w:ascii="Cambria" w:hAnsi="Cambria" w:cs="Times New Roman"/>
          <w:b/>
          <w:sz w:val="24"/>
          <w:szCs w:val="24"/>
        </w:rPr>
      </w:pPr>
      <w:r w:rsidRPr="008775D5">
        <w:rPr>
          <w:rFonts w:ascii="Cambria" w:hAnsi="Cambria" w:cs="Times New Roman"/>
          <w:b/>
          <w:sz w:val="24"/>
          <w:szCs w:val="24"/>
        </w:rPr>
        <w:t>8. GOTOVINA I GOTOVINSKI EKVIVALENTI</w:t>
      </w:r>
      <w:r w:rsidR="00FA0001">
        <w:rPr>
          <w:rFonts w:ascii="Cambria" w:hAnsi="Cambria" w:cs="Times New Roman"/>
          <w:b/>
          <w:sz w:val="24"/>
          <w:szCs w:val="24"/>
        </w:rPr>
        <w:t xml:space="preserve"> – Napomena 2BS</w:t>
      </w:r>
    </w:p>
    <w:p w14:paraId="0EA0C59E" w14:textId="43CD3E01" w:rsidR="0057026F" w:rsidRPr="008775D5" w:rsidRDefault="0057026F" w:rsidP="00775E5E">
      <w:pPr>
        <w:spacing w:line="240" w:lineRule="auto"/>
        <w:jc w:val="both"/>
        <w:rPr>
          <w:rFonts w:ascii="Cambria" w:hAnsi="Cambria" w:cs="Times New Roman"/>
          <w:sz w:val="24"/>
          <w:szCs w:val="24"/>
        </w:rPr>
      </w:pPr>
      <w:r w:rsidRPr="008775D5">
        <w:rPr>
          <w:rFonts w:ascii="Cambria" w:hAnsi="Cambria" w:cs="Times New Roman"/>
          <w:sz w:val="24"/>
          <w:szCs w:val="24"/>
        </w:rPr>
        <w:t>Gotovina koja se nalazi na računim</w:t>
      </w:r>
      <w:r w:rsidR="00140C49" w:rsidRPr="008775D5">
        <w:rPr>
          <w:rFonts w:ascii="Cambria" w:hAnsi="Cambria" w:cs="Times New Roman"/>
          <w:sz w:val="24"/>
          <w:szCs w:val="24"/>
        </w:rPr>
        <w:t>a u pos</w:t>
      </w:r>
      <w:r w:rsidR="00B9115F" w:rsidRPr="008775D5">
        <w:rPr>
          <w:rFonts w:ascii="Cambria" w:hAnsi="Cambria" w:cs="Times New Roman"/>
          <w:sz w:val="24"/>
          <w:szCs w:val="24"/>
        </w:rPr>
        <w:t>lovnim Bankama na dan 3</w:t>
      </w:r>
      <w:r w:rsidR="00C72CB3">
        <w:rPr>
          <w:rFonts w:ascii="Cambria" w:hAnsi="Cambria" w:cs="Times New Roman"/>
          <w:sz w:val="24"/>
          <w:szCs w:val="24"/>
        </w:rPr>
        <w:t>0</w:t>
      </w:r>
      <w:r w:rsidR="00B9115F" w:rsidRPr="008775D5">
        <w:rPr>
          <w:rFonts w:ascii="Cambria" w:hAnsi="Cambria" w:cs="Times New Roman"/>
          <w:sz w:val="24"/>
          <w:szCs w:val="24"/>
        </w:rPr>
        <w:t>.</w:t>
      </w:r>
      <w:r w:rsidR="00C72CB3">
        <w:rPr>
          <w:rFonts w:ascii="Cambria" w:hAnsi="Cambria" w:cs="Times New Roman"/>
          <w:sz w:val="24"/>
          <w:szCs w:val="24"/>
        </w:rPr>
        <w:t>06</w:t>
      </w:r>
      <w:r w:rsidR="00B9115F" w:rsidRPr="008775D5">
        <w:rPr>
          <w:rFonts w:ascii="Cambria" w:hAnsi="Cambria" w:cs="Times New Roman"/>
          <w:sz w:val="24"/>
          <w:szCs w:val="24"/>
        </w:rPr>
        <w:t>.20</w:t>
      </w:r>
      <w:r w:rsidR="0006754C" w:rsidRPr="008775D5">
        <w:rPr>
          <w:rFonts w:ascii="Cambria" w:hAnsi="Cambria" w:cs="Times New Roman"/>
          <w:sz w:val="24"/>
          <w:szCs w:val="24"/>
        </w:rPr>
        <w:t>2</w:t>
      </w:r>
      <w:r w:rsidR="00C72CB3">
        <w:rPr>
          <w:rFonts w:ascii="Cambria" w:hAnsi="Cambria" w:cs="Times New Roman"/>
          <w:sz w:val="24"/>
          <w:szCs w:val="24"/>
        </w:rPr>
        <w:t>3</w:t>
      </w:r>
      <w:r w:rsidR="00A15C13" w:rsidRPr="008775D5">
        <w:rPr>
          <w:rFonts w:ascii="Cambria" w:hAnsi="Cambria" w:cs="Times New Roman"/>
          <w:sz w:val="24"/>
          <w:szCs w:val="24"/>
        </w:rPr>
        <w:t xml:space="preserve">. godine iznosi </w:t>
      </w:r>
      <w:r w:rsidR="00C72CB3">
        <w:rPr>
          <w:rFonts w:ascii="Cambria" w:hAnsi="Cambria" w:cs="Times New Roman"/>
          <w:sz w:val="24"/>
          <w:szCs w:val="24"/>
        </w:rPr>
        <w:t>383.962</w:t>
      </w:r>
      <w:r w:rsidRPr="008775D5">
        <w:rPr>
          <w:rFonts w:ascii="Cambria" w:hAnsi="Cambria" w:cs="Times New Roman"/>
          <w:sz w:val="24"/>
          <w:szCs w:val="24"/>
        </w:rPr>
        <w:t xml:space="preserve"> KM. Iskazano stanje odgovara stanju na transakcionim računima kod poslovnih banaka i blagajničkog dnevnika Društva na dan bilansiranja.</w:t>
      </w:r>
    </w:p>
    <w:tbl>
      <w:tblPr>
        <w:tblStyle w:val="TableGrid"/>
        <w:tblW w:w="9214" w:type="dxa"/>
        <w:tblInd w:w="108" w:type="dxa"/>
        <w:tblLook w:val="04A0" w:firstRow="1" w:lastRow="0" w:firstColumn="1" w:lastColumn="0" w:noHBand="0" w:noVBand="1"/>
      </w:tblPr>
      <w:tblGrid>
        <w:gridCol w:w="3544"/>
        <w:gridCol w:w="2742"/>
        <w:gridCol w:w="2928"/>
      </w:tblGrid>
      <w:tr w:rsidR="00D86A1B" w:rsidRPr="008775D5" w14:paraId="410AE42F" w14:textId="77777777" w:rsidTr="00A536BC">
        <w:trPr>
          <w:cnfStyle w:val="100000000000" w:firstRow="1" w:lastRow="0" w:firstColumn="0" w:lastColumn="0" w:oddVBand="0" w:evenVBand="0" w:oddHBand="0" w:evenHBand="0" w:firstRowFirstColumn="0" w:firstRowLastColumn="0" w:lastRowFirstColumn="0" w:lastRowLastColumn="0"/>
          <w:trHeight w:val="270"/>
        </w:trPr>
        <w:tc>
          <w:tcPr>
            <w:tcW w:w="3544" w:type="dxa"/>
          </w:tcPr>
          <w:p w14:paraId="7C5A8699" w14:textId="48186ED3" w:rsidR="00D86A1B" w:rsidRPr="008775D5" w:rsidRDefault="00D86A1B" w:rsidP="00D86A1B">
            <w:pPr>
              <w:jc w:val="center"/>
              <w:rPr>
                <w:rFonts w:ascii="Cambria" w:hAnsi="Cambria" w:cs="Times New Roman"/>
                <w:sz w:val="24"/>
                <w:szCs w:val="24"/>
              </w:rPr>
            </w:pPr>
            <w:r w:rsidRPr="008775D5">
              <w:rPr>
                <w:rFonts w:ascii="Cambria" w:hAnsi="Cambria" w:cs="Times New Roman"/>
                <w:sz w:val="24"/>
                <w:szCs w:val="24"/>
              </w:rPr>
              <w:t>Opis</w:t>
            </w:r>
          </w:p>
        </w:tc>
        <w:tc>
          <w:tcPr>
            <w:tcW w:w="2742" w:type="dxa"/>
          </w:tcPr>
          <w:p w14:paraId="37EA96C4" w14:textId="21A227DB" w:rsidR="00D86A1B" w:rsidRPr="008775D5" w:rsidRDefault="00D86A1B" w:rsidP="00775E5E">
            <w:pPr>
              <w:jc w:val="both"/>
              <w:rPr>
                <w:rFonts w:ascii="Cambria" w:hAnsi="Cambria" w:cs="Times New Roman"/>
                <w:sz w:val="24"/>
                <w:szCs w:val="24"/>
              </w:rPr>
            </w:pPr>
            <w:r w:rsidRPr="008775D5">
              <w:rPr>
                <w:rFonts w:ascii="Cambria" w:hAnsi="Cambria" w:cs="Times New Roman"/>
                <w:sz w:val="24"/>
                <w:szCs w:val="24"/>
              </w:rPr>
              <w:t>Stanje 3</w:t>
            </w:r>
            <w:r w:rsidR="00C72CB3">
              <w:rPr>
                <w:rFonts w:ascii="Cambria" w:hAnsi="Cambria" w:cs="Times New Roman"/>
                <w:sz w:val="24"/>
                <w:szCs w:val="24"/>
              </w:rPr>
              <w:t>0</w:t>
            </w:r>
            <w:r w:rsidRPr="008775D5">
              <w:rPr>
                <w:rFonts w:ascii="Cambria" w:hAnsi="Cambria" w:cs="Times New Roman"/>
                <w:sz w:val="24"/>
                <w:szCs w:val="24"/>
              </w:rPr>
              <w:t>.</w:t>
            </w:r>
            <w:r w:rsidR="00C72CB3">
              <w:rPr>
                <w:rFonts w:ascii="Cambria" w:hAnsi="Cambria" w:cs="Times New Roman"/>
                <w:sz w:val="24"/>
                <w:szCs w:val="24"/>
              </w:rPr>
              <w:t>06</w:t>
            </w:r>
            <w:r w:rsidRPr="008775D5">
              <w:rPr>
                <w:rFonts w:ascii="Cambria" w:hAnsi="Cambria" w:cs="Times New Roman"/>
                <w:sz w:val="24"/>
                <w:szCs w:val="24"/>
              </w:rPr>
              <w:t>.202</w:t>
            </w:r>
            <w:r w:rsidR="00C72CB3">
              <w:rPr>
                <w:rFonts w:ascii="Cambria" w:hAnsi="Cambria" w:cs="Times New Roman"/>
                <w:sz w:val="24"/>
                <w:szCs w:val="24"/>
              </w:rPr>
              <w:t>3</w:t>
            </w:r>
            <w:r w:rsidRPr="008775D5">
              <w:rPr>
                <w:rFonts w:ascii="Cambria" w:hAnsi="Cambria" w:cs="Times New Roman"/>
                <w:sz w:val="24"/>
                <w:szCs w:val="24"/>
              </w:rPr>
              <w:t>.</w:t>
            </w:r>
          </w:p>
        </w:tc>
        <w:tc>
          <w:tcPr>
            <w:tcW w:w="2928" w:type="dxa"/>
          </w:tcPr>
          <w:p w14:paraId="3DA6BF6F" w14:textId="58B1B66C" w:rsidR="00D86A1B" w:rsidRPr="008775D5" w:rsidRDefault="00D86A1B" w:rsidP="00775E5E">
            <w:pPr>
              <w:jc w:val="both"/>
              <w:rPr>
                <w:rFonts w:ascii="Cambria" w:hAnsi="Cambria" w:cs="Times New Roman"/>
                <w:sz w:val="24"/>
                <w:szCs w:val="24"/>
              </w:rPr>
            </w:pPr>
            <w:r w:rsidRPr="008775D5">
              <w:rPr>
                <w:rFonts w:ascii="Cambria" w:hAnsi="Cambria" w:cs="Times New Roman"/>
                <w:sz w:val="24"/>
                <w:szCs w:val="24"/>
              </w:rPr>
              <w:t>Stanje 3</w:t>
            </w:r>
            <w:r w:rsidR="00C72CB3">
              <w:rPr>
                <w:rFonts w:ascii="Cambria" w:hAnsi="Cambria" w:cs="Times New Roman"/>
                <w:sz w:val="24"/>
                <w:szCs w:val="24"/>
              </w:rPr>
              <w:t>0</w:t>
            </w:r>
            <w:r w:rsidRPr="008775D5">
              <w:rPr>
                <w:rFonts w:ascii="Cambria" w:hAnsi="Cambria" w:cs="Times New Roman"/>
                <w:sz w:val="24"/>
                <w:szCs w:val="24"/>
              </w:rPr>
              <w:t>.</w:t>
            </w:r>
            <w:r w:rsidR="00C72CB3">
              <w:rPr>
                <w:rFonts w:ascii="Cambria" w:hAnsi="Cambria" w:cs="Times New Roman"/>
                <w:sz w:val="24"/>
                <w:szCs w:val="24"/>
              </w:rPr>
              <w:t>06</w:t>
            </w:r>
            <w:r w:rsidRPr="008775D5">
              <w:rPr>
                <w:rFonts w:ascii="Cambria" w:hAnsi="Cambria" w:cs="Times New Roman"/>
                <w:sz w:val="24"/>
                <w:szCs w:val="24"/>
              </w:rPr>
              <w:t>.202</w:t>
            </w:r>
            <w:r w:rsidR="001B3DC5">
              <w:rPr>
                <w:rFonts w:ascii="Cambria" w:hAnsi="Cambria" w:cs="Times New Roman"/>
                <w:sz w:val="24"/>
                <w:szCs w:val="24"/>
              </w:rPr>
              <w:t>2</w:t>
            </w:r>
            <w:r w:rsidRPr="008775D5">
              <w:rPr>
                <w:rFonts w:ascii="Cambria" w:hAnsi="Cambria" w:cs="Times New Roman"/>
                <w:sz w:val="24"/>
                <w:szCs w:val="24"/>
              </w:rPr>
              <w:t>.</w:t>
            </w:r>
          </w:p>
        </w:tc>
      </w:tr>
      <w:tr w:rsidR="00D86A1B" w:rsidRPr="008775D5" w14:paraId="4056C3B6" w14:textId="77777777" w:rsidTr="00A536BC">
        <w:trPr>
          <w:trHeight w:val="270"/>
        </w:trPr>
        <w:tc>
          <w:tcPr>
            <w:tcW w:w="3544" w:type="dxa"/>
          </w:tcPr>
          <w:p w14:paraId="59E0B743" w14:textId="3472E80A" w:rsidR="00D86A1B" w:rsidRPr="008775D5" w:rsidRDefault="00D86A1B" w:rsidP="00775E5E">
            <w:pPr>
              <w:jc w:val="both"/>
              <w:rPr>
                <w:rFonts w:ascii="Cambria" w:hAnsi="Cambria" w:cs="Times New Roman"/>
                <w:sz w:val="24"/>
                <w:szCs w:val="24"/>
              </w:rPr>
            </w:pPr>
            <w:r w:rsidRPr="008775D5">
              <w:rPr>
                <w:rFonts w:ascii="Cambria" w:hAnsi="Cambria" w:cs="Times New Roman"/>
                <w:sz w:val="24"/>
                <w:szCs w:val="24"/>
              </w:rPr>
              <w:t>Gotovina na žiro-računima</w:t>
            </w:r>
          </w:p>
        </w:tc>
        <w:tc>
          <w:tcPr>
            <w:tcW w:w="2742" w:type="dxa"/>
          </w:tcPr>
          <w:p w14:paraId="1CE37D87" w14:textId="76335997" w:rsidR="00D86A1B" w:rsidRPr="008775D5" w:rsidRDefault="00536D5C" w:rsidP="00536D5C">
            <w:pPr>
              <w:jc w:val="right"/>
              <w:rPr>
                <w:rFonts w:ascii="Cambria" w:hAnsi="Cambria" w:cs="Times New Roman"/>
                <w:sz w:val="24"/>
                <w:szCs w:val="24"/>
              </w:rPr>
            </w:pPr>
            <w:r w:rsidRPr="008775D5">
              <w:rPr>
                <w:rFonts w:ascii="Cambria" w:hAnsi="Cambria" w:cs="Times New Roman"/>
                <w:sz w:val="24"/>
                <w:szCs w:val="24"/>
              </w:rPr>
              <w:t>3</w:t>
            </w:r>
            <w:r w:rsidR="00C72CB3">
              <w:rPr>
                <w:rFonts w:ascii="Cambria" w:hAnsi="Cambria" w:cs="Times New Roman"/>
                <w:sz w:val="24"/>
                <w:szCs w:val="24"/>
              </w:rPr>
              <w:t>83</w:t>
            </w:r>
            <w:r w:rsidRPr="008775D5">
              <w:rPr>
                <w:rFonts w:ascii="Cambria" w:hAnsi="Cambria" w:cs="Times New Roman"/>
                <w:sz w:val="24"/>
                <w:szCs w:val="24"/>
              </w:rPr>
              <w:t>.</w:t>
            </w:r>
            <w:r w:rsidR="00C72CB3">
              <w:rPr>
                <w:rFonts w:ascii="Cambria" w:hAnsi="Cambria" w:cs="Times New Roman"/>
                <w:sz w:val="24"/>
                <w:szCs w:val="24"/>
              </w:rPr>
              <w:t>600</w:t>
            </w:r>
          </w:p>
        </w:tc>
        <w:tc>
          <w:tcPr>
            <w:tcW w:w="2928" w:type="dxa"/>
          </w:tcPr>
          <w:p w14:paraId="5E536501" w14:textId="266742ED" w:rsidR="00D86A1B" w:rsidRPr="008775D5" w:rsidRDefault="001B3DC5" w:rsidP="00A536BC">
            <w:pPr>
              <w:jc w:val="right"/>
              <w:rPr>
                <w:rFonts w:ascii="Cambria" w:hAnsi="Cambria" w:cs="Times New Roman"/>
                <w:sz w:val="24"/>
                <w:szCs w:val="24"/>
              </w:rPr>
            </w:pPr>
            <w:r>
              <w:rPr>
                <w:rFonts w:ascii="Cambria" w:hAnsi="Cambria" w:cs="Times New Roman"/>
                <w:sz w:val="24"/>
                <w:szCs w:val="24"/>
              </w:rPr>
              <w:t>91.742</w:t>
            </w:r>
          </w:p>
        </w:tc>
      </w:tr>
      <w:tr w:rsidR="00D86A1B" w:rsidRPr="008775D5" w14:paraId="0E16B25F" w14:textId="77777777" w:rsidTr="00A536BC">
        <w:trPr>
          <w:trHeight w:val="285"/>
        </w:trPr>
        <w:tc>
          <w:tcPr>
            <w:tcW w:w="3544" w:type="dxa"/>
          </w:tcPr>
          <w:p w14:paraId="5B9EE99E" w14:textId="412FA620" w:rsidR="00D86A1B" w:rsidRPr="008775D5" w:rsidRDefault="00A536BC" w:rsidP="00775E5E">
            <w:pPr>
              <w:jc w:val="both"/>
              <w:rPr>
                <w:rFonts w:ascii="Cambria" w:hAnsi="Cambria" w:cs="Times New Roman"/>
                <w:sz w:val="24"/>
                <w:szCs w:val="24"/>
              </w:rPr>
            </w:pPr>
            <w:r w:rsidRPr="008775D5">
              <w:rPr>
                <w:rFonts w:ascii="Cambria" w:hAnsi="Cambria" w:cs="Times New Roman"/>
                <w:sz w:val="24"/>
                <w:szCs w:val="24"/>
              </w:rPr>
              <w:t>Gotovina u blagajni</w:t>
            </w:r>
          </w:p>
        </w:tc>
        <w:tc>
          <w:tcPr>
            <w:tcW w:w="2742" w:type="dxa"/>
          </w:tcPr>
          <w:p w14:paraId="7A753DB1" w14:textId="7C78CE93" w:rsidR="00D86A1B" w:rsidRPr="008775D5" w:rsidRDefault="00C72CB3" w:rsidP="00536D5C">
            <w:pPr>
              <w:jc w:val="right"/>
              <w:rPr>
                <w:rFonts w:ascii="Cambria" w:hAnsi="Cambria" w:cs="Times New Roman"/>
                <w:sz w:val="24"/>
                <w:szCs w:val="24"/>
              </w:rPr>
            </w:pPr>
            <w:r>
              <w:rPr>
                <w:rFonts w:ascii="Cambria" w:hAnsi="Cambria" w:cs="Times New Roman"/>
                <w:sz w:val="24"/>
                <w:szCs w:val="24"/>
              </w:rPr>
              <w:t>362</w:t>
            </w:r>
          </w:p>
        </w:tc>
        <w:tc>
          <w:tcPr>
            <w:tcW w:w="2928" w:type="dxa"/>
          </w:tcPr>
          <w:p w14:paraId="7ECCB3B2" w14:textId="1C0DBDF0" w:rsidR="00D86A1B" w:rsidRPr="008775D5" w:rsidRDefault="001B3DC5" w:rsidP="00A536BC">
            <w:pPr>
              <w:jc w:val="right"/>
              <w:rPr>
                <w:rFonts w:ascii="Cambria" w:hAnsi="Cambria" w:cs="Times New Roman"/>
                <w:sz w:val="24"/>
                <w:szCs w:val="24"/>
              </w:rPr>
            </w:pPr>
            <w:r>
              <w:rPr>
                <w:rFonts w:ascii="Cambria" w:hAnsi="Cambria" w:cs="Times New Roman"/>
                <w:sz w:val="24"/>
                <w:szCs w:val="24"/>
              </w:rPr>
              <w:t>27</w:t>
            </w:r>
          </w:p>
        </w:tc>
      </w:tr>
      <w:tr w:rsidR="00D86A1B" w:rsidRPr="008775D5" w14:paraId="7CB6F5C2" w14:textId="77777777" w:rsidTr="00A536BC">
        <w:trPr>
          <w:trHeight w:val="255"/>
        </w:trPr>
        <w:tc>
          <w:tcPr>
            <w:tcW w:w="3544" w:type="dxa"/>
          </w:tcPr>
          <w:p w14:paraId="17C59FFC" w14:textId="4DD8DFE0" w:rsidR="00D86A1B" w:rsidRPr="008775D5" w:rsidRDefault="00A536BC" w:rsidP="00775E5E">
            <w:pPr>
              <w:jc w:val="both"/>
              <w:rPr>
                <w:rFonts w:ascii="Cambria" w:hAnsi="Cambria" w:cs="Times New Roman"/>
                <w:sz w:val="24"/>
                <w:szCs w:val="24"/>
              </w:rPr>
            </w:pPr>
            <w:r w:rsidRPr="008775D5">
              <w:rPr>
                <w:rFonts w:ascii="Cambria" w:hAnsi="Cambria" w:cs="Times New Roman"/>
                <w:sz w:val="24"/>
                <w:szCs w:val="24"/>
              </w:rPr>
              <w:t>Gotovina na deviznim računima</w:t>
            </w:r>
          </w:p>
        </w:tc>
        <w:tc>
          <w:tcPr>
            <w:tcW w:w="2742" w:type="dxa"/>
          </w:tcPr>
          <w:p w14:paraId="1397463D" w14:textId="05CB2609" w:rsidR="00D86A1B" w:rsidRPr="008775D5" w:rsidRDefault="00D31639" w:rsidP="00536D5C">
            <w:pPr>
              <w:jc w:val="right"/>
              <w:rPr>
                <w:rFonts w:ascii="Cambria" w:hAnsi="Cambria" w:cs="Times New Roman"/>
                <w:b/>
                <w:bCs/>
                <w:sz w:val="24"/>
                <w:szCs w:val="24"/>
              </w:rPr>
            </w:pPr>
            <w:r w:rsidRPr="008775D5">
              <w:rPr>
                <w:rFonts w:ascii="Cambria" w:hAnsi="Cambria" w:cs="Times New Roman"/>
                <w:b/>
                <w:bCs/>
                <w:sz w:val="24"/>
                <w:szCs w:val="24"/>
              </w:rPr>
              <w:t>3</w:t>
            </w:r>
            <w:r w:rsidR="0066486B" w:rsidRPr="008775D5">
              <w:rPr>
                <w:rFonts w:ascii="Cambria" w:hAnsi="Cambria" w:cs="Times New Roman"/>
                <w:b/>
                <w:bCs/>
                <w:sz w:val="24"/>
                <w:szCs w:val="24"/>
              </w:rPr>
              <w:t>8</w:t>
            </w:r>
            <w:r w:rsidR="00C72CB3">
              <w:rPr>
                <w:rFonts w:ascii="Cambria" w:hAnsi="Cambria" w:cs="Times New Roman"/>
                <w:b/>
                <w:bCs/>
                <w:sz w:val="24"/>
                <w:szCs w:val="24"/>
              </w:rPr>
              <w:t>3</w:t>
            </w:r>
            <w:r w:rsidR="0066486B" w:rsidRPr="008775D5">
              <w:rPr>
                <w:rFonts w:ascii="Cambria" w:hAnsi="Cambria" w:cs="Times New Roman"/>
                <w:b/>
                <w:bCs/>
                <w:sz w:val="24"/>
                <w:szCs w:val="24"/>
              </w:rPr>
              <w:t>.</w:t>
            </w:r>
            <w:r w:rsidR="00C72CB3">
              <w:rPr>
                <w:rFonts w:ascii="Cambria" w:hAnsi="Cambria" w:cs="Times New Roman"/>
                <w:b/>
                <w:bCs/>
                <w:sz w:val="24"/>
                <w:szCs w:val="24"/>
              </w:rPr>
              <w:t>9</w:t>
            </w:r>
            <w:r w:rsidR="0066486B" w:rsidRPr="008775D5">
              <w:rPr>
                <w:rFonts w:ascii="Cambria" w:hAnsi="Cambria" w:cs="Times New Roman"/>
                <w:b/>
                <w:bCs/>
                <w:sz w:val="24"/>
                <w:szCs w:val="24"/>
              </w:rPr>
              <w:t>6</w:t>
            </w:r>
            <w:r w:rsidR="00C72CB3">
              <w:rPr>
                <w:rFonts w:ascii="Cambria" w:hAnsi="Cambria" w:cs="Times New Roman"/>
                <w:b/>
                <w:bCs/>
                <w:sz w:val="24"/>
                <w:szCs w:val="24"/>
              </w:rPr>
              <w:t>2</w:t>
            </w:r>
          </w:p>
        </w:tc>
        <w:tc>
          <w:tcPr>
            <w:tcW w:w="2928" w:type="dxa"/>
          </w:tcPr>
          <w:p w14:paraId="2D6E54C6" w14:textId="06CBE6F6" w:rsidR="00D86A1B" w:rsidRPr="008775D5" w:rsidRDefault="001B3DC5" w:rsidP="00A536BC">
            <w:pPr>
              <w:jc w:val="right"/>
              <w:rPr>
                <w:rFonts w:ascii="Cambria" w:hAnsi="Cambria" w:cs="Times New Roman"/>
                <w:b/>
                <w:bCs/>
                <w:sz w:val="24"/>
                <w:szCs w:val="24"/>
              </w:rPr>
            </w:pPr>
            <w:r>
              <w:rPr>
                <w:rFonts w:ascii="Cambria" w:hAnsi="Cambria" w:cs="Times New Roman"/>
                <w:b/>
                <w:bCs/>
                <w:sz w:val="24"/>
                <w:szCs w:val="24"/>
              </w:rPr>
              <w:t>91.769</w:t>
            </w:r>
          </w:p>
        </w:tc>
      </w:tr>
    </w:tbl>
    <w:p w14:paraId="72A7CDED" w14:textId="5C52288A" w:rsidR="00D86A1B" w:rsidRPr="008775D5" w:rsidRDefault="00D86A1B" w:rsidP="00775E5E">
      <w:pPr>
        <w:spacing w:line="240" w:lineRule="auto"/>
        <w:jc w:val="both"/>
        <w:rPr>
          <w:rFonts w:ascii="Cambria" w:hAnsi="Cambria" w:cs="Times New Roman"/>
          <w:sz w:val="24"/>
          <w:szCs w:val="24"/>
        </w:rPr>
      </w:pPr>
    </w:p>
    <w:p w14:paraId="045706D0" w14:textId="0D9A4E25" w:rsidR="0057026F" w:rsidRPr="008775D5" w:rsidRDefault="000D1F40" w:rsidP="00775E5E">
      <w:pPr>
        <w:spacing w:line="240" w:lineRule="auto"/>
        <w:jc w:val="both"/>
        <w:rPr>
          <w:rFonts w:ascii="Cambria" w:hAnsi="Cambria" w:cs="Times New Roman"/>
          <w:b/>
          <w:sz w:val="24"/>
          <w:szCs w:val="24"/>
        </w:rPr>
      </w:pPr>
      <w:r w:rsidRPr="008775D5">
        <w:rPr>
          <w:rFonts w:ascii="Cambria" w:hAnsi="Cambria" w:cs="Times New Roman"/>
          <w:b/>
          <w:sz w:val="24"/>
          <w:szCs w:val="24"/>
        </w:rPr>
        <w:t xml:space="preserve">9. </w:t>
      </w:r>
      <w:bookmarkStart w:id="9" w:name="_Hlk127444003"/>
      <w:r w:rsidR="0057026F" w:rsidRPr="008775D5">
        <w:rPr>
          <w:rFonts w:ascii="Cambria" w:hAnsi="Cambria" w:cs="Times New Roman"/>
          <w:b/>
          <w:sz w:val="24"/>
          <w:szCs w:val="24"/>
        </w:rPr>
        <w:t>KAPITAL</w:t>
      </w:r>
      <w:r w:rsidR="00FA0001">
        <w:rPr>
          <w:rFonts w:ascii="Cambria" w:hAnsi="Cambria" w:cs="Times New Roman"/>
          <w:b/>
          <w:sz w:val="24"/>
          <w:szCs w:val="24"/>
        </w:rPr>
        <w:t xml:space="preserve"> </w:t>
      </w:r>
    </w:p>
    <w:bookmarkEnd w:id="9"/>
    <w:p w14:paraId="5C5CFC43" w14:textId="77777777" w:rsidR="005C1030" w:rsidRDefault="0057026F" w:rsidP="005C1030">
      <w:pPr>
        <w:spacing w:after="0" w:line="240" w:lineRule="auto"/>
        <w:jc w:val="both"/>
        <w:rPr>
          <w:rFonts w:ascii="Cambria" w:hAnsi="Cambria" w:cs="Times New Roman"/>
          <w:sz w:val="24"/>
          <w:szCs w:val="24"/>
        </w:rPr>
      </w:pPr>
      <w:r w:rsidRPr="008775D5">
        <w:rPr>
          <w:rFonts w:ascii="Cambria" w:hAnsi="Cambria" w:cs="Times New Roman"/>
          <w:sz w:val="24"/>
          <w:szCs w:val="24"/>
        </w:rPr>
        <w:t xml:space="preserve">Društvo je inicijalno osnovano sa akcijskim kapitalom u visini </w:t>
      </w:r>
      <w:r w:rsidR="000D1F40" w:rsidRPr="008775D5">
        <w:rPr>
          <w:rFonts w:ascii="Cambria" w:hAnsi="Cambria" w:cs="Times New Roman"/>
          <w:sz w:val="24"/>
          <w:szCs w:val="24"/>
        </w:rPr>
        <w:t>od 500,000 KM podijeljenim na 1.</w:t>
      </w:r>
      <w:r w:rsidRPr="008775D5">
        <w:rPr>
          <w:rFonts w:ascii="Cambria" w:hAnsi="Cambria" w:cs="Times New Roman"/>
          <w:sz w:val="24"/>
          <w:szCs w:val="24"/>
        </w:rPr>
        <w:t xml:space="preserve">000 običnih (redovnih) akcija, nominalne vrijednosti od 500 KM po akciji. Osnovni sud u Banjaluci je dana 26.12.2008, godine donio Rješenje broj 071-0-Reg-08- 002570 kojim je upisana promjena (istupanje osnivača Gorana Šakotića i Borislava Pandžića) i sticanje sopstvenih akcija kod Društva (98 sopstvenih akcija, iznos uloga 49,000 KM), Ove akcije su poništene Rješenjem Okružnog privrednog suda Banjaluka broj 057-0- Reg-10-001939 od 26. novembra 2010. godine, te je po tom osnovu u sudski registar upisano smanjenje osnovnog kapitala Društva, koji od novembra 2010. godine iznosiio 451,000 KM. </w:t>
      </w:r>
    </w:p>
    <w:p w14:paraId="0A1BE5ED" w14:textId="77777777" w:rsidR="005C1030" w:rsidRDefault="0057026F" w:rsidP="005C1030">
      <w:pPr>
        <w:spacing w:after="0" w:line="240" w:lineRule="auto"/>
        <w:jc w:val="both"/>
        <w:rPr>
          <w:rFonts w:ascii="Cambria" w:hAnsi="Cambria" w:cs="Times New Roman"/>
          <w:sz w:val="24"/>
          <w:szCs w:val="24"/>
        </w:rPr>
      </w:pPr>
      <w:r w:rsidRPr="008775D5">
        <w:rPr>
          <w:rFonts w:ascii="Cambria" w:hAnsi="Cambria" w:cs="Times New Roman"/>
          <w:sz w:val="24"/>
          <w:szCs w:val="24"/>
        </w:rPr>
        <w:t>Okružni privredni sud Banjaluka je 24.12.2010. godine donio Rješenje broj 057-0-Reg- 10-002197, kojim je upisana promjena (istupanje osnivača Milana Subotića iz Kozarske Dubice) i sticanje sopstvenih akcija kod Društva (98 sopstvenih akcija, iznos uloga 49,000 KM).</w:t>
      </w:r>
      <w:r w:rsidR="000D1F40" w:rsidRPr="008775D5">
        <w:rPr>
          <w:rFonts w:ascii="Cambria" w:hAnsi="Cambria" w:cs="Times New Roman"/>
          <w:sz w:val="24"/>
          <w:szCs w:val="24"/>
        </w:rPr>
        <w:t xml:space="preserve"> Okružni privredni sud u Banjoj Luci je 15.11.2012. godine donio Rješenje broj 057-0- Reg-12-001880, kojim je upisano smanjenje kapitala Društva, koji tada iznosi 402,000 KM (804 akcije nominalne vrijednosti 500 KM). </w:t>
      </w:r>
    </w:p>
    <w:p w14:paraId="06F0DF44" w14:textId="77777777" w:rsidR="005C1030" w:rsidRDefault="000D1F40" w:rsidP="005C1030">
      <w:pPr>
        <w:spacing w:after="0" w:line="240" w:lineRule="auto"/>
        <w:jc w:val="both"/>
        <w:rPr>
          <w:rFonts w:ascii="Cambria" w:hAnsi="Cambria" w:cs="Times New Roman"/>
          <w:sz w:val="24"/>
          <w:szCs w:val="24"/>
        </w:rPr>
      </w:pPr>
      <w:r w:rsidRPr="008775D5">
        <w:rPr>
          <w:rFonts w:ascii="Cambria" w:hAnsi="Cambria" w:cs="Times New Roman"/>
          <w:sz w:val="24"/>
          <w:szCs w:val="24"/>
        </w:rPr>
        <w:t xml:space="preserve">Okružni privredni sud u Banjoj Luci je 20.12.2012. godine donio Rješenje broj 057-0- Reg-12-003020, kojim je upisana promjena akcionara Društva (istupanje akcionara Milke </w:t>
      </w:r>
      <w:r w:rsidRPr="008775D5">
        <w:rPr>
          <w:rFonts w:ascii="Cambria" w:hAnsi="Cambria" w:cs="Times New Roman"/>
          <w:sz w:val="24"/>
          <w:szCs w:val="24"/>
        </w:rPr>
        <w:lastRenderedPageBreak/>
        <w:t xml:space="preserve">Trivanović i sticanje sopstvenih akcija). U sudski registar Okružnog privrednog suda u Banjoj Luci 22.04.2014. godine upisana je promjena odnosa u akcionarskim udjelima. </w:t>
      </w:r>
    </w:p>
    <w:p w14:paraId="59F8B535" w14:textId="6B50699F" w:rsidR="00992518" w:rsidRPr="008775D5" w:rsidRDefault="000D1F40" w:rsidP="00775E5E">
      <w:pPr>
        <w:spacing w:line="240" w:lineRule="auto"/>
        <w:jc w:val="both"/>
        <w:rPr>
          <w:rFonts w:ascii="Cambria" w:hAnsi="Cambria" w:cs="Times New Roman"/>
          <w:sz w:val="24"/>
          <w:szCs w:val="24"/>
        </w:rPr>
      </w:pPr>
      <w:r w:rsidRPr="008775D5">
        <w:rPr>
          <w:rFonts w:ascii="Cambria" w:hAnsi="Cambria" w:cs="Times New Roman"/>
          <w:sz w:val="24"/>
          <w:szCs w:val="24"/>
        </w:rPr>
        <w:t xml:space="preserve">Promjena upisa u sudski registar Okružnog privrednog suda u Banjoj Luci izvršena je 17.07.2015, godine, upisom smanjenja osnovnog kapitala poništenjem sopstvenih akcija. Društvo je povećanje osnovnog kapitala izvršilo pretvaranjem zakonskih rezervi i neraspoređene dobiti što je registrovano kod Okružnog privrednog suda u Banjaluci Rješenjem broj 057-0-Reg-16-000621 od 07.09.2016.godine. </w:t>
      </w:r>
    </w:p>
    <w:p w14:paraId="151E29BB" w14:textId="71DAA0BA" w:rsidR="00D86A1B" w:rsidRPr="008775D5" w:rsidRDefault="000D1F40" w:rsidP="00DA7B79">
      <w:pPr>
        <w:spacing w:line="240" w:lineRule="auto"/>
        <w:jc w:val="both"/>
        <w:rPr>
          <w:rFonts w:ascii="Cambria" w:hAnsi="Cambria" w:cs="Times New Roman"/>
          <w:sz w:val="24"/>
          <w:szCs w:val="24"/>
        </w:rPr>
      </w:pPr>
      <w:r w:rsidRPr="008775D5">
        <w:rPr>
          <w:rFonts w:ascii="Cambria" w:hAnsi="Cambria" w:cs="Times New Roman"/>
          <w:sz w:val="24"/>
          <w:szCs w:val="24"/>
        </w:rPr>
        <w:t>Ukupna vrijednost kapitala Dr</w:t>
      </w:r>
      <w:r w:rsidR="00140C49" w:rsidRPr="008775D5">
        <w:rPr>
          <w:rFonts w:ascii="Cambria" w:hAnsi="Cambria" w:cs="Times New Roman"/>
          <w:sz w:val="24"/>
          <w:szCs w:val="24"/>
        </w:rPr>
        <w:t>uštva</w:t>
      </w:r>
      <w:r w:rsidRPr="008775D5">
        <w:rPr>
          <w:rFonts w:ascii="Cambria" w:hAnsi="Cambria" w:cs="Times New Roman"/>
          <w:sz w:val="24"/>
          <w:szCs w:val="24"/>
        </w:rPr>
        <w:t xml:space="preserve"> </w:t>
      </w:r>
      <w:r w:rsidR="005C1030">
        <w:rPr>
          <w:rFonts w:ascii="Cambria" w:hAnsi="Cambria" w:cs="Times New Roman"/>
          <w:sz w:val="24"/>
          <w:szCs w:val="24"/>
        </w:rPr>
        <w:t>na dan 3</w:t>
      </w:r>
      <w:r w:rsidR="001B3DC5">
        <w:rPr>
          <w:rFonts w:ascii="Cambria" w:hAnsi="Cambria" w:cs="Times New Roman"/>
          <w:sz w:val="24"/>
          <w:szCs w:val="24"/>
        </w:rPr>
        <w:t>0</w:t>
      </w:r>
      <w:r w:rsidR="005C1030">
        <w:rPr>
          <w:rFonts w:ascii="Cambria" w:hAnsi="Cambria" w:cs="Times New Roman"/>
          <w:sz w:val="24"/>
          <w:szCs w:val="24"/>
        </w:rPr>
        <w:t>.</w:t>
      </w:r>
      <w:r w:rsidR="001B3DC5">
        <w:rPr>
          <w:rFonts w:ascii="Cambria" w:hAnsi="Cambria" w:cs="Times New Roman"/>
          <w:sz w:val="24"/>
          <w:szCs w:val="24"/>
        </w:rPr>
        <w:t>06</w:t>
      </w:r>
      <w:r w:rsidR="005C1030">
        <w:rPr>
          <w:rFonts w:ascii="Cambria" w:hAnsi="Cambria" w:cs="Times New Roman"/>
          <w:sz w:val="24"/>
          <w:szCs w:val="24"/>
        </w:rPr>
        <w:t>.202</w:t>
      </w:r>
      <w:r w:rsidR="001B3DC5">
        <w:rPr>
          <w:rFonts w:ascii="Cambria" w:hAnsi="Cambria" w:cs="Times New Roman"/>
          <w:sz w:val="24"/>
          <w:szCs w:val="24"/>
        </w:rPr>
        <w:t>3</w:t>
      </w:r>
      <w:r w:rsidR="005C1030">
        <w:rPr>
          <w:rFonts w:ascii="Cambria" w:hAnsi="Cambria" w:cs="Times New Roman"/>
          <w:sz w:val="24"/>
          <w:szCs w:val="24"/>
        </w:rPr>
        <w:t xml:space="preserve">.g. </w:t>
      </w:r>
      <w:r w:rsidRPr="008775D5">
        <w:rPr>
          <w:rFonts w:ascii="Cambria" w:hAnsi="Cambria" w:cs="Times New Roman"/>
          <w:sz w:val="24"/>
          <w:szCs w:val="24"/>
        </w:rPr>
        <w:t>iznosi 253.000 KM (506 akcija nominalne vrijednosti 500,00 KM).</w:t>
      </w:r>
    </w:p>
    <w:p w14:paraId="7AA20F47" w14:textId="541E318A" w:rsidR="00FE3AB1" w:rsidRPr="008775D5" w:rsidRDefault="00FE3AB1" w:rsidP="00FE3AB1">
      <w:pPr>
        <w:spacing w:after="0" w:line="240" w:lineRule="auto"/>
        <w:jc w:val="both"/>
        <w:rPr>
          <w:rFonts w:ascii="Cambria" w:hAnsi="Cambria" w:cs="Times New Roman"/>
          <w:sz w:val="24"/>
          <w:szCs w:val="24"/>
        </w:rPr>
      </w:pPr>
      <w:r w:rsidRPr="008775D5">
        <w:rPr>
          <w:rFonts w:ascii="Cambria" w:hAnsi="Cambria" w:cs="Times New Roman"/>
          <w:sz w:val="24"/>
          <w:szCs w:val="24"/>
        </w:rPr>
        <w:t>vlasničk</w:t>
      </w:r>
      <w:r w:rsidR="005C1030">
        <w:rPr>
          <w:rFonts w:ascii="Cambria" w:hAnsi="Cambria" w:cs="Times New Roman"/>
          <w:sz w:val="24"/>
          <w:szCs w:val="24"/>
        </w:rPr>
        <w:t>a</w:t>
      </w:r>
      <w:r w:rsidRPr="008775D5">
        <w:rPr>
          <w:rFonts w:ascii="Cambria" w:hAnsi="Cambria" w:cs="Times New Roman"/>
          <w:sz w:val="24"/>
          <w:szCs w:val="24"/>
        </w:rPr>
        <w:t xml:space="preserve"> struktur</w:t>
      </w:r>
      <w:r w:rsidR="005C1030">
        <w:rPr>
          <w:rFonts w:ascii="Cambria" w:hAnsi="Cambria" w:cs="Times New Roman"/>
          <w:sz w:val="24"/>
          <w:szCs w:val="24"/>
        </w:rPr>
        <w:t>a</w:t>
      </w:r>
      <w:r w:rsidRPr="008775D5">
        <w:rPr>
          <w:rFonts w:ascii="Cambria" w:hAnsi="Cambria" w:cs="Times New Roman"/>
          <w:sz w:val="24"/>
          <w:szCs w:val="24"/>
        </w:rPr>
        <w:t xml:space="preserve"> Društva:</w:t>
      </w:r>
    </w:p>
    <w:tbl>
      <w:tblPr>
        <w:tblStyle w:val="TableGrid"/>
        <w:tblW w:w="9115" w:type="dxa"/>
        <w:tblInd w:w="108" w:type="dxa"/>
        <w:tblLook w:val="04A0" w:firstRow="1" w:lastRow="0" w:firstColumn="1" w:lastColumn="0" w:noHBand="0" w:noVBand="1"/>
      </w:tblPr>
      <w:tblGrid>
        <w:gridCol w:w="4140"/>
        <w:gridCol w:w="1418"/>
        <w:gridCol w:w="1417"/>
        <w:gridCol w:w="2140"/>
      </w:tblGrid>
      <w:tr w:rsidR="00A536BC" w:rsidRPr="008775D5" w14:paraId="256679A3" w14:textId="77777777" w:rsidTr="005C1030">
        <w:trPr>
          <w:cnfStyle w:val="100000000000" w:firstRow="1" w:lastRow="0" w:firstColumn="0" w:lastColumn="0" w:oddVBand="0" w:evenVBand="0" w:oddHBand="0" w:evenHBand="0" w:firstRowFirstColumn="0" w:firstRowLastColumn="0" w:lastRowFirstColumn="0" w:lastRowLastColumn="0"/>
        </w:trPr>
        <w:tc>
          <w:tcPr>
            <w:tcW w:w="4140" w:type="dxa"/>
            <w:shd w:val="clear" w:color="auto" w:fill="auto"/>
          </w:tcPr>
          <w:p w14:paraId="56721CB6" w14:textId="177FFE32" w:rsidR="00A536BC" w:rsidRPr="008775D5" w:rsidRDefault="00A536BC" w:rsidP="00FE3AB1">
            <w:pPr>
              <w:jc w:val="both"/>
              <w:rPr>
                <w:rFonts w:ascii="Cambria" w:hAnsi="Cambria" w:cs="Times New Roman"/>
                <w:sz w:val="24"/>
                <w:szCs w:val="24"/>
              </w:rPr>
            </w:pPr>
            <w:r w:rsidRPr="008775D5">
              <w:rPr>
                <w:rFonts w:ascii="Cambria" w:hAnsi="Cambria" w:cs="Times New Roman"/>
                <w:sz w:val="24"/>
                <w:szCs w:val="24"/>
              </w:rPr>
              <w:t>Ime i prezime/ Naziv akcionara</w:t>
            </w:r>
          </w:p>
        </w:tc>
        <w:tc>
          <w:tcPr>
            <w:tcW w:w="1418" w:type="dxa"/>
            <w:shd w:val="clear" w:color="auto" w:fill="auto"/>
          </w:tcPr>
          <w:p w14:paraId="72C443F0" w14:textId="7F64A67B" w:rsidR="00A536BC" w:rsidRPr="008775D5" w:rsidRDefault="00A536BC" w:rsidP="005C1030">
            <w:pPr>
              <w:jc w:val="center"/>
              <w:rPr>
                <w:rFonts w:ascii="Cambria" w:hAnsi="Cambria" w:cs="Times New Roman"/>
                <w:sz w:val="24"/>
                <w:szCs w:val="24"/>
              </w:rPr>
            </w:pPr>
            <w:r w:rsidRPr="008775D5">
              <w:rPr>
                <w:rFonts w:ascii="Cambria" w:hAnsi="Cambria" w:cs="Times New Roman"/>
                <w:sz w:val="24"/>
                <w:szCs w:val="24"/>
              </w:rPr>
              <w:t>Broj akcija</w:t>
            </w:r>
          </w:p>
        </w:tc>
        <w:tc>
          <w:tcPr>
            <w:tcW w:w="1417" w:type="dxa"/>
            <w:shd w:val="clear" w:color="auto" w:fill="auto"/>
          </w:tcPr>
          <w:p w14:paraId="6E6F3583" w14:textId="0B1AAF0D" w:rsidR="00A536BC" w:rsidRPr="008775D5" w:rsidRDefault="00A536BC" w:rsidP="005C1030">
            <w:pPr>
              <w:jc w:val="center"/>
              <w:rPr>
                <w:rFonts w:ascii="Cambria" w:hAnsi="Cambria" w:cs="Times New Roman"/>
                <w:sz w:val="24"/>
                <w:szCs w:val="24"/>
              </w:rPr>
            </w:pPr>
            <w:r w:rsidRPr="008775D5">
              <w:rPr>
                <w:rFonts w:ascii="Cambria" w:hAnsi="Cambria" w:cs="Times New Roman"/>
                <w:sz w:val="24"/>
                <w:szCs w:val="24"/>
              </w:rPr>
              <w:t>Iznos uloga</w:t>
            </w:r>
          </w:p>
        </w:tc>
        <w:tc>
          <w:tcPr>
            <w:tcW w:w="2140" w:type="dxa"/>
            <w:shd w:val="clear" w:color="auto" w:fill="auto"/>
          </w:tcPr>
          <w:p w14:paraId="3B64CF03" w14:textId="4D681E4F" w:rsidR="00A536BC" w:rsidRPr="008775D5" w:rsidRDefault="00A536BC" w:rsidP="005C1030">
            <w:pPr>
              <w:jc w:val="center"/>
              <w:rPr>
                <w:rFonts w:ascii="Cambria" w:hAnsi="Cambria" w:cs="Times New Roman"/>
                <w:sz w:val="24"/>
                <w:szCs w:val="24"/>
              </w:rPr>
            </w:pPr>
            <w:r w:rsidRPr="008775D5">
              <w:rPr>
                <w:rFonts w:ascii="Cambria" w:hAnsi="Cambria" w:cs="Times New Roman"/>
                <w:sz w:val="24"/>
                <w:szCs w:val="24"/>
              </w:rPr>
              <w:t>Procenat vl</w:t>
            </w:r>
            <w:r w:rsidR="005C1030">
              <w:rPr>
                <w:rFonts w:ascii="Cambria" w:hAnsi="Cambria" w:cs="Times New Roman"/>
                <w:sz w:val="24"/>
                <w:szCs w:val="24"/>
              </w:rPr>
              <w:t>asn.</w:t>
            </w:r>
          </w:p>
        </w:tc>
      </w:tr>
      <w:tr w:rsidR="00A536BC" w:rsidRPr="008775D5" w14:paraId="63693833" w14:textId="77777777" w:rsidTr="005C1030">
        <w:tc>
          <w:tcPr>
            <w:tcW w:w="4140" w:type="dxa"/>
          </w:tcPr>
          <w:p w14:paraId="675529FE" w14:textId="190EFD75" w:rsidR="00A536BC" w:rsidRPr="001B3DC5" w:rsidRDefault="001B3DC5" w:rsidP="00FE3AB1">
            <w:pPr>
              <w:jc w:val="both"/>
              <w:rPr>
                <w:rFonts w:ascii="Cambria" w:hAnsi="Cambria" w:cs="Times New Roman"/>
              </w:rPr>
            </w:pPr>
            <w:r w:rsidRPr="001B3DC5">
              <w:rPr>
                <w:rFonts w:ascii="Cambria" w:hAnsi="Cambria" w:cs="Times New Roman"/>
              </w:rPr>
              <w:t>Galič Stanko</w:t>
            </w:r>
          </w:p>
        </w:tc>
        <w:tc>
          <w:tcPr>
            <w:tcW w:w="1418" w:type="dxa"/>
          </w:tcPr>
          <w:p w14:paraId="4938F5ED" w14:textId="0D73785C" w:rsidR="00A536BC" w:rsidRPr="001B3DC5" w:rsidRDefault="001B3DC5" w:rsidP="005C1030">
            <w:pPr>
              <w:jc w:val="right"/>
              <w:rPr>
                <w:rFonts w:ascii="Cambria" w:hAnsi="Cambria" w:cs="Times New Roman"/>
              </w:rPr>
            </w:pPr>
            <w:r>
              <w:rPr>
                <w:rFonts w:ascii="Cambria" w:hAnsi="Cambria" w:cs="Times New Roman"/>
              </w:rPr>
              <w:t>2</w:t>
            </w:r>
            <w:r w:rsidR="00AC21E1" w:rsidRPr="001B3DC5">
              <w:rPr>
                <w:rFonts w:ascii="Cambria" w:hAnsi="Cambria" w:cs="Times New Roman"/>
              </w:rPr>
              <w:t>06</w:t>
            </w:r>
          </w:p>
        </w:tc>
        <w:tc>
          <w:tcPr>
            <w:tcW w:w="1417" w:type="dxa"/>
          </w:tcPr>
          <w:p w14:paraId="293F5A38" w14:textId="74EC2791" w:rsidR="00A536BC" w:rsidRPr="001B3DC5" w:rsidRDefault="00D90BC3" w:rsidP="005C1030">
            <w:pPr>
              <w:jc w:val="right"/>
              <w:rPr>
                <w:rFonts w:ascii="Cambria" w:hAnsi="Cambria" w:cs="Times New Roman"/>
              </w:rPr>
            </w:pPr>
            <w:r>
              <w:rPr>
                <w:rFonts w:ascii="Cambria" w:hAnsi="Cambria" w:cs="Times New Roman"/>
              </w:rPr>
              <w:t>10</w:t>
            </w:r>
            <w:r w:rsidR="0006212C" w:rsidRPr="001B3DC5">
              <w:rPr>
                <w:rFonts w:ascii="Cambria" w:hAnsi="Cambria" w:cs="Times New Roman"/>
              </w:rPr>
              <w:t>3.000</w:t>
            </w:r>
          </w:p>
        </w:tc>
        <w:tc>
          <w:tcPr>
            <w:tcW w:w="2140" w:type="dxa"/>
          </w:tcPr>
          <w:p w14:paraId="7E74D701" w14:textId="4F74FF02" w:rsidR="00A536BC" w:rsidRPr="001B3DC5" w:rsidRDefault="00D90BC3" w:rsidP="005C1030">
            <w:pPr>
              <w:jc w:val="right"/>
              <w:rPr>
                <w:rFonts w:ascii="Cambria" w:hAnsi="Cambria" w:cs="Times New Roman"/>
              </w:rPr>
            </w:pPr>
            <w:r>
              <w:rPr>
                <w:rFonts w:ascii="Cambria" w:hAnsi="Cambria" w:cs="Times New Roman"/>
              </w:rPr>
              <w:t>4</w:t>
            </w:r>
            <w:r w:rsidR="00A536BC" w:rsidRPr="001B3DC5">
              <w:rPr>
                <w:rFonts w:ascii="Cambria" w:hAnsi="Cambria" w:cs="Times New Roman"/>
              </w:rPr>
              <w:t>0,</w:t>
            </w:r>
            <w:r>
              <w:rPr>
                <w:rFonts w:ascii="Cambria" w:hAnsi="Cambria" w:cs="Times New Roman"/>
              </w:rPr>
              <w:t>71146245</w:t>
            </w:r>
            <w:r w:rsidR="00A536BC" w:rsidRPr="001B3DC5">
              <w:rPr>
                <w:rFonts w:ascii="Cambria" w:hAnsi="Cambria" w:cs="Times New Roman"/>
              </w:rPr>
              <w:t xml:space="preserve"> %</w:t>
            </w:r>
          </w:p>
        </w:tc>
      </w:tr>
      <w:tr w:rsidR="001B3DC5" w:rsidRPr="008775D5" w14:paraId="46D5332D" w14:textId="77777777" w:rsidTr="005C1030">
        <w:tc>
          <w:tcPr>
            <w:tcW w:w="4140" w:type="dxa"/>
          </w:tcPr>
          <w:p w14:paraId="569DD9AA" w14:textId="20A5B764" w:rsidR="001B3DC5" w:rsidRPr="001B3DC5" w:rsidRDefault="001B3DC5" w:rsidP="001B3DC5">
            <w:pPr>
              <w:jc w:val="both"/>
              <w:rPr>
                <w:rFonts w:ascii="Cambria" w:hAnsi="Cambria" w:cs="Times New Roman"/>
              </w:rPr>
            </w:pPr>
            <w:r w:rsidRPr="001B3DC5">
              <w:rPr>
                <w:rFonts w:ascii="Cambria" w:hAnsi="Cambria"/>
              </w:rPr>
              <w:t>Zorka Pharma- hemija d.o.o. Šabac</w:t>
            </w:r>
          </w:p>
        </w:tc>
        <w:tc>
          <w:tcPr>
            <w:tcW w:w="1418" w:type="dxa"/>
          </w:tcPr>
          <w:p w14:paraId="00B42022" w14:textId="10793B24" w:rsidR="001B3DC5" w:rsidRPr="001B3DC5" w:rsidRDefault="001B3DC5" w:rsidP="001B3DC5">
            <w:pPr>
              <w:jc w:val="right"/>
              <w:rPr>
                <w:rFonts w:ascii="Cambria" w:hAnsi="Cambria" w:cs="Times New Roman"/>
              </w:rPr>
            </w:pPr>
            <w:r w:rsidRPr="001B3DC5">
              <w:rPr>
                <w:rFonts w:ascii="Cambria" w:hAnsi="Cambria"/>
              </w:rPr>
              <w:t>50</w:t>
            </w:r>
          </w:p>
        </w:tc>
        <w:tc>
          <w:tcPr>
            <w:tcW w:w="1417" w:type="dxa"/>
          </w:tcPr>
          <w:p w14:paraId="194175DF" w14:textId="15DE9651" w:rsidR="001B3DC5" w:rsidRPr="001B3DC5" w:rsidRDefault="001B3DC5" w:rsidP="001B3DC5">
            <w:pPr>
              <w:jc w:val="right"/>
              <w:rPr>
                <w:rFonts w:ascii="Cambria" w:hAnsi="Cambria" w:cs="Times New Roman"/>
              </w:rPr>
            </w:pPr>
            <w:r w:rsidRPr="001B3DC5">
              <w:rPr>
                <w:rFonts w:ascii="Cambria" w:hAnsi="Cambria"/>
              </w:rPr>
              <w:t>25.000</w:t>
            </w:r>
          </w:p>
        </w:tc>
        <w:tc>
          <w:tcPr>
            <w:tcW w:w="2140" w:type="dxa"/>
          </w:tcPr>
          <w:p w14:paraId="7F53A45B" w14:textId="6719CC6E" w:rsidR="001B3DC5" w:rsidRPr="001B3DC5" w:rsidRDefault="001B3DC5" w:rsidP="001B3DC5">
            <w:pPr>
              <w:jc w:val="right"/>
              <w:rPr>
                <w:rFonts w:ascii="Cambria" w:hAnsi="Cambria" w:cs="Times New Roman"/>
              </w:rPr>
            </w:pPr>
            <w:r w:rsidRPr="001B3DC5">
              <w:rPr>
                <w:rFonts w:ascii="Cambria" w:hAnsi="Cambria"/>
              </w:rPr>
              <w:t>9,8814229</w:t>
            </w:r>
            <w:r w:rsidR="00D90BC3">
              <w:rPr>
                <w:rFonts w:ascii="Cambria" w:hAnsi="Cambria"/>
              </w:rPr>
              <w:t>25</w:t>
            </w:r>
            <w:r w:rsidRPr="001B3DC5">
              <w:rPr>
                <w:rFonts w:ascii="Cambria" w:hAnsi="Cambria"/>
              </w:rPr>
              <w:t>%</w:t>
            </w:r>
          </w:p>
        </w:tc>
      </w:tr>
      <w:tr w:rsidR="001B3DC5" w:rsidRPr="008775D5" w14:paraId="149B0A57" w14:textId="77777777" w:rsidTr="005C1030">
        <w:tc>
          <w:tcPr>
            <w:tcW w:w="4140" w:type="dxa"/>
          </w:tcPr>
          <w:p w14:paraId="7C192E2B" w14:textId="545BA577" w:rsidR="001B3DC5" w:rsidRPr="001B3DC5" w:rsidRDefault="001B3DC5" w:rsidP="001B3DC5">
            <w:pPr>
              <w:jc w:val="both"/>
              <w:rPr>
                <w:rFonts w:ascii="Cambria" w:hAnsi="Cambria" w:cs="Times New Roman"/>
              </w:rPr>
            </w:pPr>
            <w:r w:rsidRPr="001B3DC5">
              <w:rPr>
                <w:rFonts w:ascii="Cambria" w:hAnsi="Cambria"/>
              </w:rPr>
              <w:t>Butinar Primož</w:t>
            </w:r>
          </w:p>
        </w:tc>
        <w:tc>
          <w:tcPr>
            <w:tcW w:w="1418" w:type="dxa"/>
          </w:tcPr>
          <w:p w14:paraId="6D0D2C3E" w14:textId="5AE7A96F" w:rsidR="001B3DC5" w:rsidRPr="001B3DC5" w:rsidRDefault="001B3DC5" w:rsidP="001B3DC5">
            <w:pPr>
              <w:jc w:val="right"/>
              <w:rPr>
                <w:rFonts w:ascii="Cambria" w:hAnsi="Cambria" w:cs="Times New Roman"/>
              </w:rPr>
            </w:pPr>
            <w:r w:rsidRPr="001B3DC5">
              <w:rPr>
                <w:rFonts w:ascii="Cambria" w:hAnsi="Cambria"/>
              </w:rPr>
              <w:t>50</w:t>
            </w:r>
          </w:p>
        </w:tc>
        <w:tc>
          <w:tcPr>
            <w:tcW w:w="1417" w:type="dxa"/>
          </w:tcPr>
          <w:p w14:paraId="2D6733D8" w14:textId="045BF40D" w:rsidR="001B3DC5" w:rsidRPr="001B3DC5" w:rsidRDefault="001B3DC5" w:rsidP="001B3DC5">
            <w:pPr>
              <w:jc w:val="right"/>
              <w:rPr>
                <w:rFonts w:ascii="Cambria" w:hAnsi="Cambria" w:cs="Times New Roman"/>
              </w:rPr>
            </w:pPr>
            <w:r w:rsidRPr="001B3DC5">
              <w:rPr>
                <w:rFonts w:ascii="Cambria" w:hAnsi="Cambria"/>
              </w:rPr>
              <w:t>25.000</w:t>
            </w:r>
          </w:p>
        </w:tc>
        <w:tc>
          <w:tcPr>
            <w:tcW w:w="2140" w:type="dxa"/>
          </w:tcPr>
          <w:p w14:paraId="6B3CBFE8" w14:textId="07845B24" w:rsidR="001B3DC5" w:rsidRPr="001B3DC5" w:rsidRDefault="001B3DC5" w:rsidP="001B3DC5">
            <w:pPr>
              <w:jc w:val="right"/>
              <w:rPr>
                <w:rFonts w:ascii="Cambria" w:hAnsi="Cambria" w:cs="Times New Roman"/>
              </w:rPr>
            </w:pPr>
            <w:r w:rsidRPr="001B3DC5">
              <w:rPr>
                <w:rFonts w:ascii="Cambria" w:hAnsi="Cambria"/>
              </w:rPr>
              <w:t>9,8814229</w:t>
            </w:r>
            <w:r w:rsidR="00D90BC3">
              <w:rPr>
                <w:rFonts w:ascii="Cambria" w:hAnsi="Cambria"/>
              </w:rPr>
              <w:t>25</w:t>
            </w:r>
            <w:r w:rsidRPr="001B3DC5">
              <w:rPr>
                <w:rFonts w:ascii="Cambria" w:hAnsi="Cambria"/>
              </w:rPr>
              <w:t>%</w:t>
            </w:r>
          </w:p>
        </w:tc>
      </w:tr>
      <w:tr w:rsidR="001B3DC5" w:rsidRPr="008775D5" w14:paraId="3E2496EF" w14:textId="77777777" w:rsidTr="005C1030">
        <w:tc>
          <w:tcPr>
            <w:tcW w:w="4140" w:type="dxa"/>
          </w:tcPr>
          <w:p w14:paraId="1AE8642E" w14:textId="6292708A" w:rsidR="001B3DC5" w:rsidRPr="001B3DC5" w:rsidRDefault="001B3DC5" w:rsidP="001B3DC5">
            <w:pPr>
              <w:jc w:val="both"/>
              <w:rPr>
                <w:rFonts w:ascii="Cambria" w:hAnsi="Cambria" w:cs="Times New Roman"/>
              </w:rPr>
            </w:pPr>
            <w:r w:rsidRPr="001B3DC5">
              <w:rPr>
                <w:rFonts w:ascii="Cambria" w:hAnsi="Cambria"/>
              </w:rPr>
              <w:t xml:space="preserve">Piknik park d.o.o. </w:t>
            </w:r>
          </w:p>
        </w:tc>
        <w:tc>
          <w:tcPr>
            <w:tcW w:w="1418" w:type="dxa"/>
          </w:tcPr>
          <w:p w14:paraId="6057F181" w14:textId="26F44D41" w:rsidR="001B3DC5" w:rsidRPr="001B3DC5" w:rsidRDefault="001B3DC5" w:rsidP="001B3DC5">
            <w:pPr>
              <w:jc w:val="right"/>
              <w:rPr>
                <w:rFonts w:ascii="Cambria" w:hAnsi="Cambria" w:cs="Times New Roman"/>
              </w:rPr>
            </w:pPr>
            <w:r w:rsidRPr="001B3DC5">
              <w:rPr>
                <w:rFonts w:ascii="Cambria" w:hAnsi="Cambria"/>
              </w:rPr>
              <w:t>50</w:t>
            </w:r>
          </w:p>
        </w:tc>
        <w:tc>
          <w:tcPr>
            <w:tcW w:w="1417" w:type="dxa"/>
          </w:tcPr>
          <w:p w14:paraId="28D8D5EE" w14:textId="05447867" w:rsidR="001B3DC5" w:rsidRPr="001B3DC5" w:rsidRDefault="001B3DC5" w:rsidP="001B3DC5">
            <w:pPr>
              <w:jc w:val="right"/>
              <w:rPr>
                <w:rFonts w:ascii="Cambria" w:hAnsi="Cambria" w:cs="Times New Roman"/>
              </w:rPr>
            </w:pPr>
            <w:r w:rsidRPr="001B3DC5">
              <w:rPr>
                <w:rFonts w:ascii="Cambria" w:hAnsi="Cambria"/>
              </w:rPr>
              <w:t>25.000</w:t>
            </w:r>
          </w:p>
        </w:tc>
        <w:tc>
          <w:tcPr>
            <w:tcW w:w="2140" w:type="dxa"/>
          </w:tcPr>
          <w:p w14:paraId="2193CCCD" w14:textId="2433FAB1" w:rsidR="001B3DC5" w:rsidRPr="001B3DC5" w:rsidRDefault="001B3DC5" w:rsidP="001B3DC5">
            <w:pPr>
              <w:jc w:val="right"/>
              <w:rPr>
                <w:rFonts w:ascii="Cambria" w:hAnsi="Cambria" w:cs="Times New Roman"/>
              </w:rPr>
            </w:pPr>
            <w:r w:rsidRPr="001B3DC5">
              <w:rPr>
                <w:rFonts w:ascii="Cambria" w:hAnsi="Cambria"/>
              </w:rPr>
              <w:t>9,8814229</w:t>
            </w:r>
            <w:r w:rsidR="00D90BC3">
              <w:rPr>
                <w:rFonts w:ascii="Cambria" w:hAnsi="Cambria"/>
              </w:rPr>
              <w:t>25</w:t>
            </w:r>
            <w:r w:rsidRPr="001B3DC5">
              <w:rPr>
                <w:rFonts w:ascii="Cambria" w:hAnsi="Cambria"/>
              </w:rPr>
              <w:t>%</w:t>
            </w:r>
          </w:p>
        </w:tc>
      </w:tr>
      <w:tr w:rsidR="001B3DC5" w:rsidRPr="008775D5" w14:paraId="63128A41" w14:textId="77777777" w:rsidTr="005C1030">
        <w:tc>
          <w:tcPr>
            <w:tcW w:w="4140" w:type="dxa"/>
          </w:tcPr>
          <w:p w14:paraId="1CBF2D16" w14:textId="1505EEBB" w:rsidR="001B3DC5" w:rsidRPr="001B3DC5" w:rsidRDefault="001B3DC5" w:rsidP="001B3DC5">
            <w:pPr>
              <w:jc w:val="both"/>
              <w:rPr>
                <w:rFonts w:ascii="Cambria" w:hAnsi="Cambria" w:cs="Times New Roman"/>
              </w:rPr>
            </w:pPr>
            <w:r w:rsidRPr="001B3DC5">
              <w:rPr>
                <w:rFonts w:ascii="Cambria" w:hAnsi="Cambria"/>
              </w:rPr>
              <w:t>Otrantкomerc a.d. Podgorica</w:t>
            </w:r>
          </w:p>
        </w:tc>
        <w:tc>
          <w:tcPr>
            <w:tcW w:w="1418" w:type="dxa"/>
          </w:tcPr>
          <w:p w14:paraId="6D316BCC" w14:textId="7970B8AA" w:rsidR="001B3DC5" w:rsidRPr="001B3DC5" w:rsidRDefault="001B3DC5" w:rsidP="001B3DC5">
            <w:pPr>
              <w:jc w:val="right"/>
              <w:rPr>
                <w:rFonts w:ascii="Cambria" w:hAnsi="Cambria" w:cs="Times New Roman"/>
              </w:rPr>
            </w:pPr>
            <w:r w:rsidRPr="001B3DC5">
              <w:rPr>
                <w:rFonts w:ascii="Cambria" w:hAnsi="Cambria"/>
              </w:rPr>
              <w:t>50</w:t>
            </w:r>
          </w:p>
        </w:tc>
        <w:tc>
          <w:tcPr>
            <w:tcW w:w="1417" w:type="dxa"/>
          </w:tcPr>
          <w:p w14:paraId="1C0163E7" w14:textId="08BEED6E" w:rsidR="001B3DC5" w:rsidRPr="001B3DC5" w:rsidRDefault="001B3DC5" w:rsidP="001B3DC5">
            <w:pPr>
              <w:jc w:val="right"/>
              <w:rPr>
                <w:rFonts w:ascii="Cambria" w:hAnsi="Cambria" w:cs="Times New Roman"/>
              </w:rPr>
            </w:pPr>
            <w:r w:rsidRPr="001B3DC5">
              <w:rPr>
                <w:rFonts w:ascii="Cambria" w:hAnsi="Cambria"/>
              </w:rPr>
              <w:t>25.000</w:t>
            </w:r>
          </w:p>
        </w:tc>
        <w:tc>
          <w:tcPr>
            <w:tcW w:w="2140" w:type="dxa"/>
          </w:tcPr>
          <w:p w14:paraId="7C6252E1" w14:textId="1D7B2061" w:rsidR="001B3DC5" w:rsidRPr="001B3DC5" w:rsidRDefault="001B3DC5" w:rsidP="001B3DC5">
            <w:pPr>
              <w:jc w:val="right"/>
              <w:rPr>
                <w:rFonts w:ascii="Cambria" w:hAnsi="Cambria" w:cs="Times New Roman"/>
              </w:rPr>
            </w:pPr>
            <w:r w:rsidRPr="001B3DC5">
              <w:rPr>
                <w:rFonts w:ascii="Cambria" w:hAnsi="Cambria"/>
              </w:rPr>
              <w:t>9,8814229</w:t>
            </w:r>
            <w:r w:rsidR="00D90BC3">
              <w:rPr>
                <w:rFonts w:ascii="Cambria" w:hAnsi="Cambria"/>
              </w:rPr>
              <w:t>25</w:t>
            </w:r>
            <w:r w:rsidRPr="001B3DC5">
              <w:rPr>
                <w:rFonts w:ascii="Cambria" w:hAnsi="Cambria"/>
              </w:rPr>
              <w:t>%</w:t>
            </w:r>
          </w:p>
        </w:tc>
      </w:tr>
      <w:tr w:rsidR="001B3DC5" w:rsidRPr="008775D5" w14:paraId="3132EAA6" w14:textId="77777777" w:rsidTr="005C1030">
        <w:tc>
          <w:tcPr>
            <w:tcW w:w="4140" w:type="dxa"/>
          </w:tcPr>
          <w:p w14:paraId="15C6CC3B" w14:textId="3D286A6E" w:rsidR="001B3DC5" w:rsidRPr="001B3DC5" w:rsidRDefault="001B3DC5" w:rsidP="001B3DC5">
            <w:pPr>
              <w:jc w:val="both"/>
              <w:rPr>
                <w:rFonts w:ascii="Cambria" w:hAnsi="Cambria" w:cs="Times New Roman"/>
              </w:rPr>
            </w:pPr>
            <w:r w:rsidRPr="001B3DC5">
              <w:rPr>
                <w:rFonts w:ascii="Cambria" w:hAnsi="Cambria"/>
              </w:rPr>
              <w:t>TC Zenit d.o.o. Banja Luka</w:t>
            </w:r>
          </w:p>
        </w:tc>
        <w:tc>
          <w:tcPr>
            <w:tcW w:w="1418" w:type="dxa"/>
          </w:tcPr>
          <w:p w14:paraId="0695B466" w14:textId="5287DA32" w:rsidR="001B3DC5" w:rsidRPr="001B3DC5" w:rsidRDefault="001B3DC5" w:rsidP="001B3DC5">
            <w:pPr>
              <w:jc w:val="right"/>
              <w:rPr>
                <w:rFonts w:ascii="Cambria" w:hAnsi="Cambria" w:cs="Times New Roman"/>
              </w:rPr>
            </w:pPr>
            <w:r w:rsidRPr="001B3DC5">
              <w:rPr>
                <w:rFonts w:ascii="Cambria" w:hAnsi="Cambria"/>
              </w:rPr>
              <w:t>50</w:t>
            </w:r>
          </w:p>
        </w:tc>
        <w:tc>
          <w:tcPr>
            <w:tcW w:w="1417" w:type="dxa"/>
          </w:tcPr>
          <w:p w14:paraId="3836730A" w14:textId="40CAA102" w:rsidR="001B3DC5" w:rsidRPr="001B3DC5" w:rsidRDefault="001B3DC5" w:rsidP="001B3DC5">
            <w:pPr>
              <w:jc w:val="right"/>
              <w:rPr>
                <w:rFonts w:ascii="Cambria" w:hAnsi="Cambria" w:cs="Times New Roman"/>
              </w:rPr>
            </w:pPr>
            <w:r w:rsidRPr="001B3DC5">
              <w:rPr>
                <w:rFonts w:ascii="Cambria" w:hAnsi="Cambria"/>
              </w:rPr>
              <w:t>25.000</w:t>
            </w:r>
          </w:p>
        </w:tc>
        <w:tc>
          <w:tcPr>
            <w:tcW w:w="2140" w:type="dxa"/>
          </w:tcPr>
          <w:p w14:paraId="1BE81323" w14:textId="701AF248" w:rsidR="001B3DC5" w:rsidRPr="001B3DC5" w:rsidRDefault="001B3DC5" w:rsidP="001B3DC5">
            <w:pPr>
              <w:jc w:val="right"/>
              <w:rPr>
                <w:rFonts w:ascii="Cambria" w:hAnsi="Cambria" w:cs="Times New Roman"/>
              </w:rPr>
            </w:pPr>
            <w:r w:rsidRPr="001B3DC5">
              <w:rPr>
                <w:rFonts w:ascii="Cambria" w:hAnsi="Cambria"/>
              </w:rPr>
              <w:t>9,8814229</w:t>
            </w:r>
            <w:r w:rsidR="00D90BC3">
              <w:rPr>
                <w:rFonts w:ascii="Cambria" w:hAnsi="Cambria"/>
              </w:rPr>
              <w:t>25</w:t>
            </w:r>
            <w:r w:rsidRPr="001B3DC5">
              <w:rPr>
                <w:rFonts w:ascii="Cambria" w:hAnsi="Cambria"/>
              </w:rPr>
              <w:t>%</w:t>
            </w:r>
          </w:p>
        </w:tc>
      </w:tr>
      <w:tr w:rsidR="001B3DC5" w:rsidRPr="008775D5" w14:paraId="3F19EE59" w14:textId="77777777" w:rsidTr="005C1030">
        <w:tc>
          <w:tcPr>
            <w:tcW w:w="4140" w:type="dxa"/>
          </w:tcPr>
          <w:p w14:paraId="4D078466" w14:textId="04BAC07B" w:rsidR="001B3DC5" w:rsidRPr="001B3DC5" w:rsidRDefault="001B3DC5" w:rsidP="001B3DC5">
            <w:pPr>
              <w:jc w:val="both"/>
              <w:rPr>
                <w:rFonts w:ascii="Cambria" w:hAnsi="Cambria" w:cs="Times New Roman"/>
                <w:lang w:val="sr-Latn-BA"/>
              </w:rPr>
            </w:pPr>
            <w:r w:rsidRPr="001B3DC5">
              <w:rPr>
                <w:rFonts w:ascii="Cambria" w:hAnsi="Cambria"/>
              </w:rPr>
              <w:t>Jancin d.o.o. Ljubljana</w:t>
            </w:r>
          </w:p>
        </w:tc>
        <w:tc>
          <w:tcPr>
            <w:tcW w:w="1418" w:type="dxa"/>
          </w:tcPr>
          <w:p w14:paraId="346F0E21" w14:textId="0B76D739" w:rsidR="001B3DC5" w:rsidRPr="001B3DC5" w:rsidRDefault="001B3DC5" w:rsidP="001B3DC5">
            <w:pPr>
              <w:jc w:val="right"/>
              <w:rPr>
                <w:rFonts w:ascii="Cambria" w:hAnsi="Cambria" w:cs="Times New Roman"/>
              </w:rPr>
            </w:pPr>
            <w:r w:rsidRPr="001B3DC5">
              <w:rPr>
                <w:rFonts w:ascii="Cambria" w:hAnsi="Cambria"/>
              </w:rPr>
              <w:t>50</w:t>
            </w:r>
          </w:p>
        </w:tc>
        <w:tc>
          <w:tcPr>
            <w:tcW w:w="1417" w:type="dxa"/>
          </w:tcPr>
          <w:p w14:paraId="237DCFFF" w14:textId="692B6372" w:rsidR="001B3DC5" w:rsidRPr="001B3DC5" w:rsidRDefault="001B3DC5" w:rsidP="001B3DC5">
            <w:pPr>
              <w:jc w:val="right"/>
              <w:rPr>
                <w:rFonts w:ascii="Cambria" w:hAnsi="Cambria" w:cs="Times New Roman"/>
              </w:rPr>
            </w:pPr>
            <w:r w:rsidRPr="001B3DC5">
              <w:rPr>
                <w:rFonts w:ascii="Cambria" w:hAnsi="Cambria"/>
              </w:rPr>
              <w:t>25.000</w:t>
            </w:r>
          </w:p>
        </w:tc>
        <w:tc>
          <w:tcPr>
            <w:tcW w:w="2140" w:type="dxa"/>
          </w:tcPr>
          <w:p w14:paraId="2CA13278" w14:textId="7025DAD7" w:rsidR="001B3DC5" w:rsidRPr="001B3DC5" w:rsidRDefault="001B3DC5" w:rsidP="001B3DC5">
            <w:pPr>
              <w:jc w:val="right"/>
              <w:rPr>
                <w:rFonts w:ascii="Cambria" w:hAnsi="Cambria" w:cs="Times New Roman"/>
              </w:rPr>
            </w:pPr>
            <w:r w:rsidRPr="001B3DC5">
              <w:rPr>
                <w:rFonts w:ascii="Cambria" w:hAnsi="Cambria"/>
              </w:rPr>
              <w:t>9,8814229</w:t>
            </w:r>
            <w:r w:rsidR="00D90BC3">
              <w:rPr>
                <w:rFonts w:ascii="Cambria" w:hAnsi="Cambria"/>
              </w:rPr>
              <w:t>25</w:t>
            </w:r>
            <w:r w:rsidRPr="001B3DC5">
              <w:rPr>
                <w:rFonts w:ascii="Cambria" w:hAnsi="Cambria"/>
              </w:rPr>
              <w:t>%</w:t>
            </w:r>
          </w:p>
        </w:tc>
      </w:tr>
    </w:tbl>
    <w:p w14:paraId="677BA5F3" w14:textId="77777777" w:rsidR="001C745E" w:rsidRDefault="001C745E" w:rsidP="00775E5E">
      <w:pPr>
        <w:spacing w:line="240" w:lineRule="auto"/>
        <w:jc w:val="both"/>
        <w:rPr>
          <w:rFonts w:ascii="Cambria" w:hAnsi="Cambria" w:cs="Times New Roman"/>
          <w:b/>
          <w:sz w:val="24"/>
          <w:szCs w:val="24"/>
        </w:rPr>
      </w:pPr>
    </w:p>
    <w:p w14:paraId="4A2F94D4" w14:textId="78BFD5D0" w:rsidR="001C745E" w:rsidRDefault="004A30BF" w:rsidP="00775E5E">
      <w:pPr>
        <w:spacing w:line="240" w:lineRule="auto"/>
        <w:jc w:val="both"/>
        <w:rPr>
          <w:rFonts w:ascii="Cambria" w:hAnsi="Cambria" w:cs="Times New Roman"/>
          <w:b/>
          <w:sz w:val="24"/>
          <w:szCs w:val="24"/>
        </w:rPr>
      </w:pPr>
      <w:r>
        <w:rPr>
          <w:rFonts w:ascii="Cambria" w:hAnsi="Cambria" w:cs="Times New Roman"/>
          <w:b/>
          <w:sz w:val="24"/>
          <w:szCs w:val="24"/>
        </w:rPr>
        <w:t>Kapital</w:t>
      </w:r>
      <w:r w:rsidR="001C745E" w:rsidRPr="001C745E">
        <w:rPr>
          <w:rFonts w:ascii="Cambria" w:hAnsi="Cambria" w:cs="Times New Roman"/>
          <w:b/>
          <w:sz w:val="24"/>
          <w:szCs w:val="24"/>
        </w:rPr>
        <w:t xml:space="preserve"> – Napomena – 3BS</w:t>
      </w:r>
    </w:p>
    <w:p w14:paraId="745F8EE8" w14:textId="283EA0CA" w:rsidR="001C745E" w:rsidRDefault="006C4AAF" w:rsidP="00775E5E">
      <w:pPr>
        <w:spacing w:line="240" w:lineRule="auto"/>
        <w:jc w:val="both"/>
        <w:rPr>
          <w:rFonts w:ascii="Cambria" w:hAnsi="Cambria" w:cs="Times New Roman"/>
          <w:bCs/>
          <w:sz w:val="24"/>
          <w:szCs w:val="24"/>
        </w:rPr>
      </w:pPr>
      <w:r>
        <w:rPr>
          <w:rFonts w:ascii="Cambria" w:hAnsi="Cambria" w:cs="Times New Roman"/>
          <w:bCs/>
          <w:sz w:val="24"/>
          <w:szCs w:val="24"/>
        </w:rPr>
        <w:t xml:space="preserve">Struktura osnovnog kapilata </w:t>
      </w:r>
      <w:r w:rsidR="004A30BF">
        <w:rPr>
          <w:rFonts w:ascii="Cambria" w:hAnsi="Cambria" w:cs="Times New Roman"/>
          <w:bCs/>
          <w:sz w:val="24"/>
          <w:szCs w:val="24"/>
        </w:rPr>
        <w:t>društva na dan 3</w:t>
      </w:r>
      <w:r w:rsidR="00D90BC3">
        <w:rPr>
          <w:rFonts w:ascii="Cambria" w:hAnsi="Cambria" w:cs="Times New Roman"/>
          <w:bCs/>
          <w:sz w:val="24"/>
          <w:szCs w:val="24"/>
        </w:rPr>
        <w:t>0</w:t>
      </w:r>
      <w:r w:rsidR="004A30BF">
        <w:rPr>
          <w:rFonts w:ascii="Cambria" w:hAnsi="Cambria" w:cs="Times New Roman"/>
          <w:bCs/>
          <w:sz w:val="24"/>
          <w:szCs w:val="24"/>
        </w:rPr>
        <w:t>.</w:t>
      </w:r>
      <w:r w:rsidR="00D90BC3">
        <w:rPr>
          <w:rFonts w:ascii="Cambria" w:hAnsi="Cambria" w:cs="Times New Roman"/>
          <w:bCs/>
          <w:sz w:val="24"/>
          <w:szCs w:val="24"/>
        </w:rPr>
        <w:t>06</w:t>
      </w:r>
      <w:r w:rsidR="004A30BF">
        <w:rPr>
          <w:rFonts w:ascii="Cambria" w:hAnsi="Cambria" w:cs="Times New Roman"/>
          <w:bCs/>
          <w:sz w:val="24"/>
          <w:szCs w:val="24"/>
        </w:rPr>
        <w:t>.202</w:t>
      </w:r>
      <w:r w:rsidR="00D90BC3">
        <w:rPr>
          <w:rFonts w:ascii="Cambria" w:hAnsi="Cambria" w:cs="Times New Roman"/>
          <w:bCs/>
          <w:sz w:val="24"/>
          <w:szCs w:val="24"/>
        </w:rPr>
        <w:t>3</w:t>
      </w:r>
      <w:r w:rsidR="004A30BF">
        <w:rPr>
          <w:rFonts w:ascii="Cambria" w:hAnsi="Cambria" w:cs="Times New Roman"/>
          <w:bCs/>
          <w:sz w:val="24"/>
          <w:szCs w:val="24"/>
        </w:rPr>
        <w:t>. godine čine:</w:t>
      </w:r>
    </w:p>
    <w:p w14:paraId="6D46CF71" w14:textId="77777777" w:rsidR="004A30BF" w:rsidRPr="008775D5" w:rsidRDefault="004A30BF" w:rsidP="004A30BF">
      <w:pPr>
        <w:pStyle w:val="ListParagraph"/>
        <w:numPr>
          <w:ilvl w:val="0"/>
          <w:numId w:val="2"/>
        </w:numPr>
        <w:spacing w:line="240" w:lineRule="auto"/>
        <w:jc w:val="both"/>
        <w:rPr>
          <w:rFonts w:ascii="Cambria" w:hAnsi="Cambria" w:cs="Times New Roman"/>
          <w:sz w:val="24"/>
          <w:szCs w:val="24"/>
        </w:rPr>
      </w:pPr>
      <w:r w:rsidRPr="008775D5">
        <w:rPr>
          <w:rFonts w:ascii="Cambria" w:hAnsi="Cambria" w:cs="Times New Roman"/>
          <w:sz w:val="24"/>
          <w:szCs w:val="24"/>
        </w:rPr>
        <w:t>Akcijski kapital 253.000 KM, (506 akcija nominalne vrijednosti 500 KM).</w:t>
      </w:r>
    </w:p>
    <w:p w14:paraId="50911298" w14:textId="77777777" w:rsidR="004A30BF" w:rsidRPr="008775D5" w:rsidRDefault="004A30BF" w:rsidP="004A30BF">
      <w:pPr>
        <w:pStyle w:val="ListParagraph"/>
        <w:numPr>
          <w:ilvl w:val="0"/>
          <w:numId w:val="2"/>
        </w:numPr>
        <w:spacing w:line="240" w:lineRule="auto"/>
        <w:jc w:val="both"/>
        <w:rPr>
          <w:rFonts w:ascii="Cambria" w:hAnsi="Cambria" w:cs="Times New Roman"/>
          <w:sz w:val="24"/>
          <w:szCs w:val="24"/>
        </w:rPr>
      </w:pPr>
      <w:r w:rsidRPr="008775D5">
        <w:rPr>
          <w:rFonts w:ascii="Cambria" w:hAnsi="Cambria" w:cs="Times New Roman"/>
          <w:sz w:val="24"/>
          <w:szCs w:val="24"/>
        </w:rPr>
        <w:t>Zakonske rezerve 25 300 KM</w:t>
      </w:r>
    </w:p>
    <w:p w14:paraId="68832476" w14:textId="607CB504" w:rsidR="004A30BF" w:rsidRPr="008775D5" w:rsidRDefault="004A30BF" w:rsidP="004A30BF">
      <w:pPr>
        <w:pStyle w:val="ListParagraph"/>
        <w:numPr>
          <w:ilvl w:val="0"/>
          <w:numId w:val="2"/>
        </w:numPr>
        <w:spacing w:line="240" w:lineRule="auto"/>
        <w:jc w:val="both"/>
        <w:rPr>
          <w:rFonts w:ascii="Cambria" w:hAnsi="Cambria" w:cs="Times New Roman"/>
          <w:sz w:val="24"/>
          <w:szCs w:val="24"/>
        </w:rPr>
      </w:pPr>
      <w:r w:rsidRPr="008775D5">
        <w:rPr>
          <w:rFonts w:ascii="Cambria" w:hAnsi="Cambria" w:cs="Times New Roman"/>
          <w:sz w:val="24"/>
          <w:szCs w:val="24"/>
        </w:rPr>
        <w:t>Nerealizovani dobitci/gubitci 1</w:t>
      </w:r>
      <w:r>
        <w:rPr>
          <w:rFonts w:ascii="Cambria" w:hAnsi="Cambria" w:cs="Times New Roman"/>
          <w:sz w:val="24"/>
          <w:szCs w:val="24"/>
        </w:rPr>
        <w:t>1</w:t>
      </w:r>
      <w:r w:rsidRPr="008775D5">
        <w:rPr>
          <w:rFonts w:ascii="Cambria" w:hAnsi="Cambria" w:cs="Times New Roman"/>
          <w:sz w:val="24"/>
          <w:szCs w:val="24"/>
        </w:rPr>
        <w:t>.</w:t>
      </w:r>
      <w:r w:rsidR="00D90BC3">
        <w:rPr>
          <w:rFonts w:ascii="Cambria" w:hAnsi="Cambria" w:cs="Times New Roman"/>
          <w:sz w:val="24"/>
          <w:szCs w:val="24"/>
        </w:rPr>
        <w:t>746</w:t>
      </w:r>
      <w:r w:rsidRPr="008775D5">
        <w:rPr>
          <w:rFonts w:ascii="Cambria" w:hAnsi="Cambria" w:cs="Times New Roman"/>
          <w:sz w:val="24"/>
          <w:szCs w:val="24"/>
        </w:rPr>
        <w:t xml:space="preserve"> KM</w:t>
      </w:r>
    </w:p>
    <w:p w14:paraId="0A1ABB81" w14:textId="0A04C2E1" w:rsidR="004A30BF" w:rsidRPr="008775D5" w:rsidRDefault="004A30BF" w:rsidP="004A30BF">
      <w:pPr>
        <w:pStyle w:val="ListParagraph"/>
        <w:numPr>
          <w:ilvl w:val="0"/>
          <w:numId w:val="2"/>
        </w:numPr>
        <w:spacing w:line="240" w:lineRule="auto"/>
        <w:jc w:val="both"/>
        <w:rPr>
          <w:rFonts w:ascii="Cambria" w:hAnsi="Cambria" w:cs="Times New Roman"/>
          <w:sz w:val="24"/>
          <w:szCs w:val="24"/>
        </w:rPr>
      </w:pPr>
      <w:r w:rsidRPr="008775D5">
        <w:rPr>
          <w:rFonts w:ascii="Cambria" w:hAnsi="Cambria" w:cs="Times New Roman"/>
          <w:sz w:val="24"/>
          <w:szCs w:val="24"/>
        </w:rPr>
        <w:t xml:space="preserve">Neraspoređena dobit ranijih godina </w:t>
      </w:r>
      <w:r w:rsidR="00D90BC3">
        <w:rPr>
          <w:rFonts w:ascii="Cambria" w:hAnsi="Cambria" w:cs="Times New Roman"/>
          <w:sz w:val="24"/>
          <w:szCs w:val="24"/>
        </w:rPr>
        <w:t>361.006</w:t>
      </w:r>
      <w:r w:rsidRPr="008775D5">
        <w:rPr>
          <w:rFonts w:ascii="Cambria" w:hAnsi="Cambria" w:cs="Times New Roman"/>
          <w:sz w:val="24"/>
          <w:szCs w:val="24"/>
        </w:rPr>
        <w:t xml:space="preserve"> KM</w:t>
      </w:r>
    </w:p>
    <w:p w14:paraId="3E980846" w14:textId="765F0D33" w:rsidR="004A30BF" w:rsidRDefault="004A30BF" w:rsidP="004A30BF">
      <w:pPr>
        <w:pStyle w:val="ListParagraph"/>
        <w:numPr>
          <w:ilvl w:val="0"/>
          <w:numId w:val="2"/>
        </w:numPr>
        <w:spacing w:line="240" w:lineRule="auto"/>
        <w:jc w:val="both"/>
        <w:rPr>
          <w:rFonts w:ascii="Cambria" w:hAnsi="Cambria" w:cs="Times New Roman"/>
          <w:sz w:val="24"/>
          <w:szCs w:val="24"/>
        </w:rPr>
      </w:pPr>
      <w:r w:rsidRPr="008775D5">
        <w:rPr>
          <w:rFonts w:ascii="Cambria" w:hAnsi="Cambria" w:cs="Times New Roman"/>
          <w:sz w:val="24"/>
          <w:szCs w:val="24"/>
        </w:rPr>
        <w:t xml:space="preserve">Dobit tekućeg perioda </w:t>
      </w:r>
      <w:r w:rsidR="00D90BC3">
        <w:rPr>
          <w:rFonts w:ascii="Cambria" w:hAnsi="Cambria" w:cs="Times New Roman"/>
          <w:sz w:val="24"/>
          <w:szCs w:val="24"/>
        </w:rPr>
        <w:t>10.228</w:t>
      </w:r>
      <w:r w:rsidRPr="008775D5">
        <w:rPr>
          <w:rFonts w:ascii="Cambria" w:hAnsi="Cambria" w:cs="Times New Roman"/>
          <w:sz w:val="24"/>
          <w:szCs w:val="24"/>
        </w:rPr>
        <w:t xml:space="preserve"> KM</w:t>
      </w:r>
    </w:p>
    <w:p w14:paraId="70BBE5E8" w14:textId="44315E6F" w:rsidR="004A30BF" w:rsidRDefault="004A30BF" w:rsidP="004A30BF">
      <w:pPr>
        <w:pStyle w:val="ListParagraph"/>
        <w:spacing w:line="240" w:lineRule="auto"/>
        <w:ind w:left="644"/>
        <w:jc w:val="both"/>
        <w:rPr>
          <w:rFonts w:ascii="Cambria" w:hAnsi="Cambria" w:cs="Times New Roman"/>
          <w:b/>
          <w:bCs/>
          <w:sz w:val="24"/>
          <w:szCs w:val="24"/>
        </w:rPr>
      </w:pPr>
      <w:r w:rsidRPr="004A30BF">
        <w:rPr>
          <w:rFonts w:ascii="Cambria" w:hAnsi="Cambria" w:cs="Times New Roman"/>
          <w:b/>
          <w:bCs/>
          <w:sz w:val="24"/>
          <w:szCs w:val="24"/>
        </w:rPr>
        <w:t>Ukupno kapital 6</w:t>
      </w:r>
      <w:r w:rsidR="00D90BC3">
        <w:rPr>
          <w:rFonts w:ascii="Cambria" w:hAnsi="Cambria" w:cs="Times New Roman"/>
          <w:b/>
          <w:bCs/>
          <w:sz w:val="24"/>
          <w:szCs w:val="24"/>
        </w:rPr>
        <w:t>6</w:t>
      </w:r>
      <w:r w:rsidRPr="004A30BF">
        <w:rPr>
          <w:rFonts w:ascii="Cambria" w:hAnsi="Cambria" w:cs="Times New Roman"/>
          <w:b/>
          <w:bCs/>
          <w:sz w:val="24"/>
          <w:szCs w:val="24"/>
        </w:rPr>
        <w:t>1.2</w:t>
      </w:r>
      <w:r w:rsidR="00D90BC3">
        <w:rPr>
          <w:rFonts w:ascii="Cambria" w:hAnsi="Cambria" w:cs="Times New Roman"/>
          <w:b/>
          <w:bCs/>
          <w:sz w:val="24"/>
          <w:szCs w:val="24"/>
        </w:rPr>
        <w:t>80</w:t>
      </w:r>
      <w:r w:rsidRPr="004A30BF">
        <w:rPr>
          <w:rFonts w:ascii="Cambria" w:hAnsi="Cambria" w:cs="Times New Roman"/>
          <w:b/>
          <w:bCs/>
          <w:sz w:val="24"/>
          <w:szCs w:val="24"/>
        </w:rPr>
        <w:t xml:space="preserve"> KM</w:t>
      </w:r>
    </w:p>
    <w:p w14:paraId="61745896" w14:textId="77777777" w:rsidR="004A30BF" w:rsidRPr="004A30BF" w:rsidRDefault="004A30BF" w:rsidP="004A30BF">
      <w:pPr>
        <w:pStyle w:val="ListParagraph"/>
        <w:spacing w:line="240" w:lineRule="auto"/>
        <w:ind w:left="644"/>
        <w:jc w:val="both"/>
        <w:rPr>
          <w:rFonts w:ascii="Cambria" w:hAnsi="Cambria" w:cs="Times New Roman"/>
          <w:b/>
          <w:bCs/>
          <w:sz w:val="24"/>
          <w:szCs w:val="24"/>
        </w:rPr>
      </w:pPr>
    </w:p>
    <w:p w14:paraId="1E3ED14A" w14:textId="295F5AEA" w:rsidR="004823B0" w:rsidRPr="008775D5" w:rsidRDefault="004823B0" w:rsidP="00775E5E">
      <w:pPr>
        <w:spacing w:line="240" w:lineRule="auto"/>
        <w:jc w:val="both"/>
        <w:rPr>
          <w:rFonts w:ascii="Cambria" w:hAnsi="Cambria" w:cs="Times New Roman"/>
          <w:b/>
          <w:sz w:val="24"/>
          <w:szCs w:val="24"/>
        </w:rPr>
      </w:pPr>
      <w:r w:rsidRPr="008775D5">
        <w:rPr>
          <w:rFonts w:ascii="Cambria" w:hAnsi="Cambria" w:cs="Times New Roman"/>
          <w:b/>
          <w:sz w:val="24"/>
          <w:szCs w:val="24"/>
        </w:rPr>
        <w:t>10. KRATKOROČNE OBAVEZE</w:t>
      </w:r>
      <w:r w:rsidR="00FA0001">
        <w:rPr>
          <w:rFonts w:ascii="Cambria" w:hAnsi="Cambria" w:cs="Times New Roman"/>
          <w:b/>
          <w:sz w:val="24"/>
          <w:szCs w:val="24"/>
        </w:rPr>
        <w:t xml:space="preserve"> – Napomena 4BS</w:t>
      </w:r>
    </w:p>
    <w:p w14:paraId="6AEFD5A1" w14:textId="1FBD52F3" w:rsidR="00EE77A0" w:rsidRPr="008775D5" w:rsidRDefault="00AF1597" w:rsidP="00775E5E">
      <w:pPr>
        <w:spacing w:line="240" w:lineRule="auto"/>
        <w:jc w:val="both"/>
        <w:rPr>
          <w:rFonts w:ascii="Cambria" w:hAnsi="Cambria" w:cs="Times New Roman"/>
          <w:sz w:val="24"/>
          <w:szCs w:val="24"/>
        </w:rPr>
      </w:pPr>
      <w:r w:rsidRPr="008775D5">
        <w:rPr>
          <w:rFonts w:ascii="Cambria" w:hAnsi="Cambria" w:cs="Times New Roman"/>
          <w:sz w:val="24"/>
          <w:szCs w:val="24"/>
        </w:rPr>
        <w:t>Kratk</w:t>
      </w:r>
      <w:r w:rsidR="00140C49" w:rsidRPr="008775D5">
        <w:rPr>
          <w:rFonts w:ascii="Cambria" w:hAnsi="Cambria" w:cs="Times New Roman"/>
          <w:sz w:val="24"/>
          <w:szCs w:val="24"/>
        </w:rPr>
        <w:t>oročne obaveze Društva na dan 3</w:t>
      </w:r>
      <w:r w:rsidR="00D90BC3">
        <w:rPr>
          <w:rFonts w:ascii="Cambria" w:hAnsi="Cambria" w:cs="Times New Roman"/>
          <w:sz w:val="24"/>
          <w:szCs w:val="24"/>
        </w:rPr>
        <w:t>0</w:t>
      </w:r>
      <w:r w:rsidR="00140C49" w:rsidRPr="008775D5">
        <w:rPr>
          <w:rFonts w:ascii="Cambria" w:hAnsi="Cambria" w:cs="Times New Roman"/>
          <w:sz w:val="24"/>
          <w:szCs w:val="24"/>
        </w:rPr>
        <w:t>.</w:t>
      </w:r>
      <w:r w:rsidR="00D90BC3">
        <w:rPr>
          <w:rFonts w:ascii="Cambria" w:hAnsi="Cambria" w:cs="Times New Roman"/>
          <w:sz w:val="24"/>
          <w:szCs w:val="24"/>
        </w:rPr>
        <w:t>06</w:t>
      </w:r>
      <w:r w:rsidR="00A15C13" w:rsidRPr="008775D5">
        <w:rPr>
          <w:rFonts w:ascii="Cambria" w:hAnsi="Cambria" w:cs="Times New Roman"/>
          <w:sz w:val="24"/>
          <w:szCs w:val="24"/>
        </w:rPr>
        <w:t>.</w:t>
      </w:r>
      <w:r w:rsidRPr="008775D5">
        <w:rPr>
          <w:rFonts w:ascii="Cambria" w:hAnsi="Cambria" w:cs="Times New Roman"/>
          <w:sz w:val="24"/>
          <w:szCs w:val="24"/>
        </w:rPr>
        <w:t>20</w:t>
      </w:r>
      <w:r w:rsidR="0006754C" w:rsidRPr="008775D5">
        <w:rPr>
          <w:rFonts w:ascii="Cambria" w:hAnsi="Cambria" w:cs="Times New Roman"/>
          <w:sz w:val="24"/>
          <w:szCs w:val="24"/>
        </w:rPr>
        <w:t>2</w:t>
      </w:r>
      <w:r w:rsidR="00D90BC3">
        <w:rPr>
          <w:rFonts w:ascii="Cambria" w:hAnsi="Cambria" w:cs="Times New Roman"/>
          <w:sz w:val="24"/>
          <w:szCs w:val="24"/>
        </w:rPr>
        <w:t>3</w:t>
      </w:r>
      <w:r w:rsidR="00A15C13" w:rsidRPr="008775D5">
        <w:rPr>
          <w:rFonts w:ascii="Cambria" w:hAnsi="Cambria" w:cs="Times New Roman"/>
          <w:sz w:val="24"/>
          <w:szCs w:val="24"/>
        </w:rPr>
        <w:t xml:space="preserve">. godine ukupno </w:t>
      </w:r>
      <w:r w:rsidR="009E4D0D" w:rsidRPr="008775D5">
        <w:rPr>
          <w:rFonts w:ascii="Cambria" w:hAnsi="Cambria" w:cs="Times New Roman"/>
          <w:sz w:val="24"/>
          <w:szCs w:val="24"/>
        </w:rPr>
        <w:t xml:space="preserve">iznose </w:t>
      </w:r>
      <w:r w:rsidR="0020379F">
        <w:rPr>
          <w:rFonts w:ascii="Cambria" w:hAnsi="Cambria" w:cs="Times New Roman"/>
          <w:sz w:val="24"/>
          <w:szCs w:val="24"/>
        </w:rPr>
        <w:t>25.674</w:t>
      </w:r>
      <w:r w:rsidRPr="008775D5">
        <w:rPr>
          <w:rFonts w:ascii="Cambria" w:hAnsi="Cambria" w:cs="Times New Roman"/>
          <w:sz w:val="24"/>
          <w:szCs w:val="24"/>
        </w:rPr>
        <w:t xml:space="preserve"> KM.</w:t>
      </w:r>
    </w:p>
    <w:p w14:paraId="0E5886F3" w14:textId="77777777" w:rsidR="000E7C26" w:rsidRDefault="00AF1597" w:rsidP="000E7C26">
      <w:pPr>
        <w:jc w:val="both"/>
        <w:rPr>
          <w:rFonts w:ascii="Cambria" w:eastAsia="Times New Roman" w:hAnsi="Cambria" w:cs="Times New Roman"/>
          <w:sz w:val="24"/>
          <w:szCs w:val="24"/>
          <w:lang w:eastAsia="en-US"/>
        </w:rPr>
      </w:pPr>
      <w:r w:rsidRPr="008775D5">
        <w:rPr>
          <w:rFonts w:ascii="Cambria" w:hAnsi="Cambria" w:cs="Times New Roman"/>
          <w:sz w:val="24"/>
          <w:szCs w:val="24"/>
        </w:rPr>
        <w:t xml:space="preserve">Najvećim dijelom </w:t>
      </w:r>
      <w:r w:rsidR="00A15C13" w:rsidRPr="008775D5">
        <w:rPr>
          <w:rFonts w:ascii="Cambria" w:hAnsi="Cambria" w:cs="Times New Roman"/>
          <w:sz w:val="24"/>
          <w:szCs w:val="24"/>
        </w:rPr>
        <w:t xml:space="preserve">se sastoje od obaveza </w:t>
      </w:r>
      <w:r w:rsidRPr="008775D5">
        <w:rPr>
          <w:rFonts w:ascii="Cambria" w:hAnsi="Cambria" w:cs="Times New Roman"/>
          <w:sz w:val="24"/>
          <w:szCs w:val="24"/>
        </w:rPr>
        <w:t>su obaveze prema dobavlja</w:t>
      </w:r>
      <w:r w:rsidR="00FA5A0E" w:rsidRPr="008775D5">
        <w:rPr>
          <w:rFonts w:ascii="Cambria" w:hAnsi="Cambria" w:cs="Times New Roman"/>
          <w:sz w:val="24"/>
          <w:szCs w:val="24"/>
        </w:rPr>
        <w:t xml:space="preserve">čima u RS i Federaciji BH </w:t>
      </w:r>
      <w:r w:rsidR="009E4D0D" w:rsidRPr="008775D5">
        <w:rPr>
          <w:rFonts w:ascii="Cambria" w:hAnsi="Cambria" w:cs="Times New Roman"/>
          <w:sz w:val="24"/>
          <w:szCs w:val="24"/>
        </w:rPr>
        <w:t>u iznosu od</w:t>
      </w:r>
      <w:r w:rsidR="00FA5A0E" w:rsidRPr="008775D5">
        <w:rPr>
          <w:rFonts w:ascii="Cambria" w:hAnsi="Cambria" w:cs="Times New Roman"/>
          <w:sz w:val="24"/>
          <w:szCs w:val="24"/>
        </w:rPr>
        <w:t xml:space="preserve"> </w:t>
      </w:r>
      <w:r w:rsidR="0020379F">
        <w:rPr>
          <w:rFonts w:ascii="Cambria" w:hAnsi="Cambria" w:cs="Times New Roman"/>
          <w:sz w:val="24"/>
          <w:szCs w:val="24"/>
        </w:rPr>
        <w:t>4.547</w:t>
      </w:r>
      <w:r w:rsidR="009E4D0D" w:rsidRPr="008775D5">
        <w:rPr>
          <w:rFonts w:ascii="Cambria" w:hAnsi="Cambria" w:cs="Times New Roman"/>
          <w:sz w:val="24"/>
          <w:szCs w:val="24"/>
        </w:rPr>
        <w:t xml:space="preserve"> </w:t>
      </w:r>
      <w:r w:rsidRPr="008775D5">
        <w:rPr>
          <w:rFonts w:ascii="Cambria" w:hAnsi="Cambria" w:cs="Times New Roman"/>
          <w:sz w:val="24"/>
          <w:szCs w:val="24"/>
        </w:rPr>
        <w:t xml:space="preserve"> KM</w:t>
      </w:r>
      <w:r w:rsidR="00A70737" w:rsidRPr="008775D5">
        <w:rPr>
          <w:rFonts w:ascii="Cambria" w:hAnsi="Cambria" w:cs="Times New Roman"/>
          <w:sz w:val="24"/>
          <w:szCs w:val="24"/>
        </w:rPr>
        <w:t xml:space="preserve">, </w:t>
      </w:r>
      <w:r w:rsidR="00EE77A0" w:rsidRPr="008775D5">
        <w:rPr>
          <w:rFonts w:ascii="Cambria" w:hAnsi="Cambria" w:cs="Times New Roman"/>
          <w:sz w:val="24"/>
          <w:szCs w:val="24"/>
        </w:rPr>
        <w:t xml:space="preserve">obaveze za zarade zaposlenih i naknade zarada u iznosu </w:t>
      </w:r>
      <w:r w:rsidR="00FA5A0E" w:rsidRPr="008775D5">
        <w:rPr>
          <w:rFonts w:ascii="Cambria" w:hAnsi="Cambria" w:cs="Times New Roman"/>
          <w:sz w:val="24"/>
          <w:szCs w:val="24"/>
        </w:rPr>
        <w:t xml:space="preserve">od </w:t>
      </w:r>
      <w:r w:rsidR="00D31639" w:rsidRPr="008775D5">
        <w:rPr>
          <w:rFonts w:ascii="Cambria" w:hAnsi="Cambria" w:cs="Times New Roman"/>
          <w:sz w:val="24"/>
          <w:szCs w:val="24"/>
        </w:rPr>
        <w:t>1</w:t>
      </w:r>
      <w:r w:rsidR="003E003B">
        <w:rPr>
          <w:rFonts w:ascii="Cambria" w:hAnsi="Cambria" w:cs="Times New Roman"/>
          <w:sz w:val="24"/>
          <w:szCs w:val="24"/>
        </w:rPr>
        <w:t>8</w:t>
      </w:r>
      <w:r w:rsidR="00D31639" w:rsidRPr="008775D5">
        <w:rPr>
          <w:rFonts w:ascii="Cambria" w:hAnsi="Cambria" w:cs="Times New Roman"/>
          <w:sz w:val="24"/>
          <w:szCs w:val="24"/>
        </w:rPr>
        <w:t>.</w:t>
      </w:r>
      <w:r w:rsidR="003E003B">
        <w:rPr>
          <w:rFonts w:ascii="Cambria" w:hAnsi="Cambria" w:cs="Times New Roman"/>
          <w:sz w:val="24"/>
          <w:szCs w:val="24"/>
        </w:rPr>
        <w:t>817</w:t>
      </w:r>
      <w:r w:rsidR="00EE77A0" w:rsidRPr="008775D5">
        <w:rPr>
          <w:rFonts w:ascii="Cambria" w:hAnsi="Cambria" w:cs="Times New Roman"/>
          <w:sz w:val="24"/>
          <w:szCs w:val="24"/>
        </w:rPr>
        <w:t xml:space="preserve"> KM</w:t>
      </w:r>
      <w:r w:rsidR="009E4D0D" w:rsidRPr="008775D5">
        <w:rPr>
          <w:rFonts w:ascii="Cambria" w:hAnsi="Cambria" w:cs="Times New Roman"/>
          <w:sz w:val="24"/>
          <w:szCs w:val="24"/>
        </w:rPr>
        <w:t xml:space="preserve"> </w:t>
      </w:r>
      <w:r w:rsidR="005A2A92" w:rsidRPr="008775D5">
        <w:rPr>
          <w:rFonts w:ascii="Cambria" w:hAnsi="Cambria" w:cs="Times New Roman"/>
          <w:sz w:val="24"/>
          <w:szCs w:val="24"/>
        </w:rPr>
        <w:t xml:space="preserve">, </w:t>
      </w:r>
      <w:r w:rsidR="00430E2B" w:rsidRPr="008775D5">
        <w:rPr>
          <w:rFonts w:ascii="Cambria" w:eastAsia="Times New Roman" w:hAnsi="Cambria" w:cs="Times New Roman"/>
          <w:sz w:val="24"/>
          <w:szCs w:val="24"/>
          <w:lang w:eastAsia="en-US"/>
        </w:rPr>
        <w:t xml:space="preserve"> </w:t>
      </w:r>
      <w:r w:rsidR="00A70737" w:rsidRPr="008775D5">
        <w:rPr>
          <w:rFonts w:ascii="Cambria" w:eastAsia="Times New Roman" w:hAnsi="Cambria" w:cs="Times New Roman"/>
          <w:sz w:val="24"/>
          <w:szCs w:val="24"/>
          <w:lang w:eastAsia="en-US"/>
        </w:rPr>
        <w:t xml:space="preserve">kao i preostalih tekućih obaveza </w:t>
      </w:r>
      <w:r w:rsidR="00BE634A">
        <w:rPr>
          <w:rFonts w:ascii="Cambria" w:eastAsia="Times New Roman" w:hAnsi="Cambria" w:cs="Times New Roman"/>
          <w:sz w:val="24"/>
          <w:szCs w:val="24"/>
          <w:lang w:eastAsia="en-US"/>
        </w:rPr>
        <w:t xml:space="preserve">prema UO </w:t>
      </w:r>
      <w:r w:rsidR="00A70737" w:rsidRPr="008775D5">
        <w:rPr>
          <w:rFonts w:ascii="Cambria" w:eastAsia="Times New Roman" w:hAnsi="Cambria" w:cs="Times New Roman"/>
          <w:sz w:val="24"/>
          <w:szCs w:val="24"/>
          <w:lang w:eastAsia="en-US"/>
        </w:rPr>
        <w:t>i naknada u iznosu</w:t>
      </w:r>
      <w:r w:rsidR="00320CEA" w:rsidRPr="008775D5">
        <w:rPr>
          <w:rFonts w:ascii="Cambria" w:eastAsia="Times New Roman" w:hAnsi="Cambria" w:cs="Times New Roman"/>
          <w:sz w:val="24"/>
          <w:szCs w:val="24"/>
          <w:lang w:eastAsia="en-US"/>
        </w:rPr>
        <w:t xml:space="preserve"> od</w:t>
      </w:r>
      <w:r w:rsidR="00A70737" w:rsidRPr="008775D5">
        <w:rPr>
          <w:rFonts w:ascii="Cambria" w:eastAsia="Times New Roman" w:hAnsi="Cambria" w:cs="Times New Roman"/>
          <w:sz w:val="24"/>
          <w:szCs w:val="24"/>
          <w:lang w:eastAsia="en-US"/>
        </w:rPr>
        <w:t xml:space="preserve"> </w:t>
      </w:r>
      <w:r w:rsidR="00CC581C" w:rsidRPr="008775D5">
        <w:rPr>
          <w:rFonts w:ascii="Cambria" w:eastAsia="Times New Roman" w:hAnsi="Cambria" w:cs="Times New Roman"/>
          <w:sz w:val="24"/>
          <w:szCs w:val="24"/>
          <w:lang w:eastAsia="en-US"/>
        </w:rPr>
        <w:t>6</w:t>
      </w:r>
      <w:r w:rsidR="003E003B">
        <w:rPr>
          <w:rFonts w:ascii="Cambria" w:eastAsia="Times New Roman" w:hAnsi="Cambria" w:cs="Times New Roman"/>
          <w:sz w:val="24"/>
          <w:szCs w:val="24"/>
          <w:lang w:eastAsia="en-US"/>
        </w:rPr>
        <w:t>82</w:t>
      </w:r>
      <w:r w:rsidR="00A70737" w:rsidRPr="008775D5">
        <w:rPr>
          <w:rFonts w:ascii="Cambria" w:eastAsia="Times New Roman" w:hAnsi="Cambria" w:cs="Times New Roman"/>
          <w:sz w:val="24"/>
          <w:szCs w:val="24"/>
          <w:lang w:eastAsia="en-US"/>
        </w:rPr>
        <w:t xml:space="preserve"> KM</w:t>
      </w:r>
      <w:r w:rsidR="00320CEA" w:rsidRPr="008775D5">
        <w:rPr>
          <w:rFonts w:ascii="Cambria" w:eastAsia="Times New Roman" w:hAnsi="Cambria" w:cs="Times New Roman"/>
          <w:sz w:val="24"/>
          <w:szCs w:val="24"/>
          <w:lang w:eastAsia="en-US"/>
        </w:rPr>
        <w:t xml:space="preserve"> i obaveze za ostale poreze i doprinose u iznosu od 1.6</w:t>
      </w:r>
      <w:r w:rsidR="003E003B">
        <w:rPr>
          <w:rFonts w:ascii="Cambria" w:eastAsia="Times New Roman" w:hAnsi="Cambria" w:cs="Times New Roman"/>
          <w:sz w:val="24"/>
          <w:szCs w:val="24"/>
          <w:lang w:eastAsia="en-US"/>
        </w:rPr>
        <w:t>28</w:t>
      </w:r>
      <w:r w:rsidR="00320CEA" w:rsidRPr="008775D5">
        <w:rPr>
          <w:rFonts w:ascii="Cambria" w:eastAsia="Times New Roman" w:hAnsi="Cambria" w:cs="Times New Roman"/>
          <w:sz w:val="24"/>
          <w:szCs w:val="24"/>
          <w:lang w:eastAsia="en-US"/>
        </w:rPr>
        <w:t xml:space="preserve"> KM</w:t>
      </w:r>
      <w:r w:rsidR="00D31639" w:rsidRPr="008775D5">
        <w:rPr>
          <w:rFonts w:ascii="Cambria" w:eastAsia="Times New Roman" w:hAnsi="Cambria" w:cs="Times New Roman"/>
          <w:sz w:val="24"/>
          <w:szCs w:val="24"/>
          <w:lang w:eastAsia="en-US"/>
        </w:rPr>
        <w:t>.</w:t>
      </w:r>
    </w:p>
    <w:p w14:paraId="5D150FED" w14:textId="77777777" w:rsidR="000E7C26" w:rsidRDefault="000E7C26" w:rsidP="000E7C26">
      <w:pPr>
        <w:jc w:val="both"/>
        <w:rPr>
          <w:rFonts w:ascii="Cambria" w:eastAsia="Times New Roman" w:hAnsi="Cambria" w:cs="Times New Roman"/>
          <w:sz w:val="24"/>
          <w:szCs w:val="24"/>
          <w:lang w:eastAsia="en-US"/>
        </w:rPr>
      </w:pPr>
    </w:p>
    <w:p w14:paraId="7B8B6019" w14:textId="77777777" w:rsidR="000E7C26" w:rsidRDefault="000E7C26" w:rsidP="000E7C26">
      <w:pPr>
        <w:jc w:val="both"/>
        <w:rPr>
          <w:rFonts w:ascii="Cambria" w:eastAsia="Times New Roman" w:hAnsi="Cambria" w:cs="Times New Roman"/>
          <w:sz w:val="24"/>
          <w:szCs w:val="24"/>
          <w:lang w:eastAsia="en-US"/>
        </w:rPr>
      </w:pPr>
    </w:p>
    <w:p w14:paraId="72DB4501" w14:textId="77777777" w:rsidR="000E7C26" w:rsidRDefault="000E7C26" w:rsidP="000E7C26">
      <w:pPr>
        <w:jc w:val="both"/>
        <w:rPr>
          <w:rFonts w:ascii="Cambria" w:eastAsia="Times New Roman" w:hAnsi="Cambria" w:cs="Times New Roman"/>
          <w:sz w:val="24"/>
          <w:szCs w:val="24"/>
          <w:lang w:eastAsia="en-US"/>
        </w:rPr>
      </w:pPr>
    </w:p>
    <w:p w14:paraId="73C3418F" w14:textId="2CF29F70" w:rsidR="00B67246" w:rsidRPr="000E7C26" w:rsidRDefault="00B67246" w:rsidP="000E7C26">
      <w:pPr>
        <w:jc w:val="both"/>
        <w:rPr>
          <w:rFonts w:ascii="Cambria" w:eastAsia="Times New Roman" w:hAnsi="Cambria" w:cs="Times New Roman"/>
          <w:sz w:val="24"/>
          <w:szCs w:val="24"/>
          <w:lang w:eastAsia="en-US"/>
        </w:rPr>
      </w:pPr>
      <w:r w:rsidRPr="00330F9B">
        <w:rPr>
          <w:rFonts w:ascii="Cambria" w:eastAsia="Times New Roman" w:hAnsi="Cambria" w:cs="Times New Roman"/>
          <w:b/>
          <w:bCs/>
          <w:sz w:val="24"/>
          <w:szCs w:val="24"/>
          <w:lang w:eastAsia="en-US"/>
        </w:rPr>
        <w:lastRenderedPageBreak/>
        <w:t>Sudski sporovi</w:t>
      </w:r>
      <w:r w:rsidR="00286D7F" w:rsidRPr="00330F9B">
        <w:rPr>
          <w:rFonts w:ascii="Cambria" w:eastAsia="Times New Roman" w:hAnsi="Cambria" w:cs="Times New Roman"/>
          <w:b/>
          <w:bCs/>
          <w:sz w:val="24"/>
          <w:szCs w:val="24"/>
          <w:lang w:eastAsia="en-US"/>
        </w:rPr>
        <w:t>:</w:t>
      </w:r>
    </w:p>
    <w:p w14:paraId="05DC17A4" w14:textId="278EBA3E" w:rsidR="00B67246" w:rsidRPr="00286D7F" w:rsidRDefault="00B67246" w:rsidP="00286D7F">
      <w:pPr>
        <w:spacing w:after="0"/>
        <w:jc w:val="both"/>
        <w:rPr>
          <w:rFonts w:ascii="Cambria" w:eastAsia="Times New Roman" w:hAnsi="Cambria" w:cs="Times New Roman"/>
          <w:sz w:val="24"/>
          <w:szCs w:val="24"/>
          <w:lang w:eastAsia="en-US"/>
        </w:rPr>
      </w:pPr>
      <w:r w:rsidRPr="00286D7F">
        <w:rPr>
          <w:rFonts w:ascii="Cambria" w:eastAsia="Times New Roman" w:hAnsi="Cambria" w:cs="Times New Roman"/>
          <w:sz w:val="24"/>
          <w:szCs w:val="24"/>
          <w:lang w:eastAsia="en-US"/>
        </w:rPr>
        <w:t>Tužba Duško Šuka broj: 71 0 Rs 371741 22 Rs dana 14.07.2022. godine (tužba zbog neisplaćene otpremnine)</w:t>
      </w:r>
      <w:r w:rsidR="00286D7F">
        <w:rPr>
          <w:rFonts w:ascii="Cambria" w:eastAsia="Times New Roman" w:hAnsi="Cambria" w:cs="Times New Roman"/>
          <w:sz w:val="24"/>
          <w:szCs w:val="24"/>
          <w:lang w:eastAsia="en-US"/>
        </w:rPr>
        <w:t>;</w:t>
      </w:r>
    </w:p>
    <w:p w14:paraId="4B8C32F1" w14:textId="35824EF7" w:rsidR="004A30BF" w:rsidRPr="004A30BF" w:rsidRDefault="00C41521" w:rsidP="004A30BF">
      <w:pPr>
        <w:jc w:val="both"/>
        <w:rPr>
          <w:rFonts w:ascii="Cambria" w:eastAsia="Times New Roman" w:hAnsi="Cambria" w:cs="Times New Roman"/>
          <w:sz w:val="24"/>
          <w:szCs w:val="24"/>
          <w:lang w:eastAsia="en-US"/>
        </w:rPr>
      </w:pPr>
      <w:r w:rsidRPr="00286D7F">
        <w:rPr>
          <w:rFonts w:ascii="Cambria" w:eastAsia="Times New Roman" w:hAnsi="Cambria" w:cs="Times New Roman"/>
          <w:sz w:val="24"/>
          <w:szCs w:val="24"/>
          <w:lang w:eastAsia="en-US"/>
        </w:rPr>
        <w:t>Sudski spor kod Općinskog suda u Sarajevu broj: 65 0 P 958627 22 P sa Feđom Krivošić</w:t>
      </w:r>
      <w:r w:rsidR="00286D7F" w:rsidRPr="00286D7F">
        <w:rPr>
          <w:rFonts w:ascii="Cambria" w:eastAsia="Times New Roman" w:hAnsi="Cambria" w:cs="Times New Roman"/>
          <w:sz w:val="24"/>
          <w:szCs w:val="24"/>
          <w:lang w:eastAsia="en-US"/>
        </w:rPr>
        <w:t>em</w:t>
      </w:r>
      <w:r w:rsidRPr="00286D7F">
        <w:rPr>
          <w:rFonts w:ascii="Cambria" w:eastAsia="Times New Roman" w:hAnsi="Cambria" w:cs="Times New Roman"/>
          <w:sz w:val="24"/>
          <w:szCs w:val="24"/>
          <w:lang w:eastAsia="en-US"/>
        </w:rPr>
        <w:t xml:space="preserve"> zbog namirenja dospjelog duga od 240.000,00 KM</w:t>
      </w:r>
      <w:r w:rsidR="00286D7F" w:rsidRPr="00286D7F">
        <w:rPr>
          <w:rFonts w:ascii="Cambria" w:eastAsia="Times New Roman" w:hAnsi="Cambria" w:cs="Times New Roman"/>
          <w:sz w:val="24"/>
          <w:szCs w:val="24"/>
          <w:lang w:eastAsia="en-US"/>
        </w:rPr>
        <w:t>.</w:t>
      </w:r>
    </w:p>
    <w:p w14:paraId="73B79995" w14:textId="77777777" w:rsidR="00330F9B" w:rsidRDefault="00330F9B" w:rsidP="00286D7F">
      <w:pPr>
        <w:spacing w:after="240" w:line="240" w:lineRule="auto"/>
        <w:jc w:val="both"/>
        <w:rPr>
          <w:rFonts w:ascii="Cambria" w:hAnsi="Cambria" w:cs="Times New Roman"/>
          <w:b/>
          <w:sz w:val="24"/>
          <w:szCs w:val="24"/>
        </w:rPr>
      </w:pPr>
    </w:p>
    <w:p w14:paraId="672D8C15" w14:textId="3F4FCEA6" w:rsidR="001A7A01" w:rsidRPr="008775D5" w:rsidRDefault="001A7A01" w:rsidP="00286D7F">
      <w:pPr>
        <w:spacing w:after="240" w:line="240" w:lineRule="auto"/>
        <w:jc w:val="both"/>
        <w:rPr>
          <w:rFonts w:ascii="Cambria" w:hAnsi="Cambria" w:cs="Times New Roman"/>
          <w:b/>
          <w:sz w:val="24"/>
          <w:szCs w:val="24"/>
        </w:rPr>
      </w:pPr>
      <w:r w:rsidRPr="008775D5">
        <w:rPr>
          <w:rFonts w:ascii="Cambria" w:hAnsi="Cambria" w:cs="Times New Roman"/>
          <w:b/>
          <w:sz w:val="24"/>
          <w:szCs w:val="24"/>
        </w:rPr>
        <w:t>11.UPRAVLJANJE FINANSIJSKIM RIZICIMA</w:t>
      </w:r>
    </w:p>
    <w:p w14:paraId="5964020E" w14:textId="77777777" w:rsidR="001A7A01" w:rsidRPr="008775D5" w:rsidRDefault="001A7A01" w:rsidP="00775E5E">
      <w:pPr>
        <w:spacing w:line="240" w:lineRule="auto"/>
        <w:jc w:val="both"/>
        <w:rPr>
          <w:rFonts w:ascii="Cambria" w:hAnsi="Cambria" w:cs="Times New Roman"/>
          <w:sz w:val="24"/>
          <w:szCs w:val="24"/>
        </w:rPr>
      </w:pPr>
      <w:r w:rsidRPr="008775D5">
        <w:rPr>
          <w:rFonts w:ascii="Cambria" w:hAnsi="Cambria" w:cs="Times New Roman"/>
          <w:sz w:val="24"/>
          <w:szCs w:val="24"/>
        </w:rPr>
        <w:t xml:space="preserve">Upravljanje finansijskim rizicima Društvo je u svom redovnom poslovanju u različitom obimu izloženo određenim finansijskim rizicima i to: </w:t>
      </w:r>
    </w:p>
    <w:p w14:paraId="6CAFB9A9" w14:textId="77777777" w:rsidR="001A7A01" w:rsidRPr="008775D5" w:rsidRDefault="001A7A01" w:rsidP="00775E5E">
      <w:pPr>
        <w:pStyle w:val="ListParagraph"/>
        <w:numPr>
          <w:ilvl w:val="0"/>
          <w:numId w:val="1"/>
        </w:numPr>
        <w:spacing w:line="240" w:lineRule="auto"/>
        <w:jc w:val="both"/>
        <w:rPr>
          <w:rFonts w:ascii="Cambria" w:hAnsi="Cambria" w:cs="Times New Roman"/>
          <w:sz w:val="24"/>
          <w:szCs w:val="24"/>
        </w:rPr>
      </w:pPr>
      <w:r w:rsidRPr="008775D5">
        <w:rPr>
          <w:rFonts w:ascii="Cambria" w:hAnsi="Cambria" w:cs="Times New Roman"/>
          <w:sz w:val="24"/>
          <w:szCs w:val="24"/>
        </w:rPr>
        <w:t xml:space="preserve">Tržišnim rizicima, </w:t>
      </w:r>
    </w:p>
    <w:p w14:paraId="2C727BC9" w14:textId="77777777" w:rsidR="001A7A01" w:rsidRPr="008775D5" w:rsidRDefault="001A7A01" w:rsidP="00775E5E">
      <w:pPr>
        <w:pStyle w:val="ListParagraph"/>
        <w:numPr>
          <w:ilvl w:val="0"/>
          <w:numId w:val="1"/>
        </w:numPr>
        <w:spacing w:line="240" w:lineRule="auto"/>
        <w:jc w:val="both"/>
        <w:rPr>
          <w:rFonts w:ascii="Cambria" w:hAnsi="Cambria" w:cs="Times New Roman"/>
          <w:sz w:val="24"/>
          <w:szCs w:val="24"/>
        </w:rPr>
      </w:pPr>
      <w:r w:rsidRPr="008775D5">
        <w:rPr>
          <w:rFonts w:ascii="Cambria" w:hAnsi="Cambria" w:cs="Times New Roman"/>
          <w:sz w:val="24"/>
          <w:szCs w:val="24"/>
        </w:rPr>
        <w:t xml:space="preserve">Riziku likvidnosti, </w:t>
      </w:r>
    </w:p>
    <w:p w14:paraId="3F039D5E" w14:textId="77777777" w:rsidR="001A7A01" w:rsidRPr="008775D5" w:rsidRDefault="001A7A01" w:rsidP="00775E5E">
      <w:pPr>
        <w:pStyle w:val="ListParagraph"/>
        <w:numPr>
          <w:ilvl w:val="0"/>
          <w:numId w:val="1"/>
        </w:numPr>
        <w:spacing w:line="240" w:lineRule="auto"/>
        <w:jc w:val="both"/>
        <w:rPr>
          <w:rFonts w:ascii="Cambria" w:hAnsi="Cambria" w:cs="Times New Roman"/>
          <w:sz w:val="24"/>
          <w:szCs w:val="24"/>
        </w:rPr>
      </w:pPr>
      <w:r w:rsidRPr="008775D5">
        <w:rPr>
          <w:rFonts w:ascii="Cambria" w:hAnsi="Cambria" w:cs="Times New Roman"/>
          <w:sz w:val="24"/>
          <w:szCs w:val="24"/>
        </w:rPr>
        <w:t xml:space="preserve">Kreditnom riziku. </w:t>
      </w:r>
    </w:p>
    <w:p w14:paraId="4E32AD32" w14:textId="321403D3" w:rsidR="00330F9B" w:rsidRPr="00286D7F" w:rsidRDefault="001A7A01" w:rsidP="00775E5E">
      <w:pPr>
        <w:spacing w:line="240" w:lineRule="auto"/>
        <w:jc w:val="both"/>
        <w:rPr>
          <w:rFonts w:ascii="Cambria" w:hAnsi="Cambria" w:cs="Times New Roman"/>
          <w:sz w:val="24"/>
          <w:szCs w:val="24"/>
        </w:rPr>
      </w:pPr>
      <w:r w:rsidRPr="008775D5">
        <w:rPr>
          <w:rFonts w:ascii="Cambria" w:hAnsi="Cambria" w:cs="Times New Roman"/>
          <w:sz w:val="24"/>
          <w:szCs w:val="24"/>
        </w:rPr>
        <w:t xml:space="preserve">Upravljanje rizicima u Društvu je usmjereno na minimiziranje potencijalnih negativnih uticaja na finansijsko stanje i poslovanje Društva u situaciji nepredvidivosti finansijskih tržišta. </w:t>
      </w:r>
    </w:p>
    <w:p w14:paraId="3D42DBEA" w14:textId="660342DF" w:rsidR="001A7A01" w:rsidRPr="008775D5" w:rsidRDefault="001A7A01" w:rsidP="00775E5E">
      <w:pPr>
        <w:spacing w:line="240" w:lineRule="auto"/>
        <w:jc w:val="both"/>
        <w:rPr>
          <w:rFonts w:ascii="Cambria" w:hAnsi="Cambria" w:cs="Times New Roman"/>
          <w:b/>
          <w:i/>
          <w:sz w:val="24"/>
          <w:szCs w:val="24"/>
        </w:rPr>
      </w:pPr>
      <w:r w:rsidRPr="008775D5">
        <w:rPr>
          <w:rFonts w:ascii="Cambria" w:hAnsi="Cambria" w:cs="Times New Roman"/>
          <w:b/>
          <w:i/>
          <w:sz w:val="24"/>
          <w:szCs w:val="24"/>
        </w:rPr>
        <w:t xml:space="preserve">11.1.Tržišni rizik </w:t>
      </w:r>
    </w:p>
    <w:p w14:paraId="48FB8682" w14:textId="77777777" w:rsidR="001A7A01" w:rsidRPr="008775D5" w:rsidRDefault="001A7A01" w:rsidP="00775E5E">
      <w:pPr>
        <w:spacing w:line="240" w:lineRule="auto"/>
        <w:jc w:val="both"/>
        <w:rPr>
          <w:rFonts w:ascii="Cambria" w:hAnsi="Cambria" w:cs="Times New Roman"/>
          <w:sz w:val="24"/>
          <w:szCs w:val="24"/>
        </w:rPr>
      </w:pPr>
      <w:r w:rsidRPr="008775D5">
        <w:rPr>
          <w:rFonts w:ascii="Cambria" w:hAnsi="Cambria" w:cs="Times New Roman"/>
          <w:sz w:val="24"/>
          <w:szCs w:val="24"/>
        </w:rPr>
        <w:t>Društvo je izloženo riziku od promjene kursa stranih valuta prilikom poslovanja u zemlji i inostranstvu, a koji proističe iz poslovanja sa različitim valutama, prvenstveno EUR.</w:t>
      </w:r>
    </w:p>
    <w:p w14:paraId="5C53BEE2" w14:textId="44E376B1" w:rsidR="00330F9B" w:rsidRDefault="001A7A01" w:rsidP="00775E5E">
      <w:pPr>
        <w:spacing w:line="240" w:lineRule="auto"/>
        <w:jc w:val="both"/>
        <w:rPr>
          <w:rFonts w:ascii="Cambria" w:hAnsi="Cambria" w:cs="Times New Roman"/>
          <w:sz w:val="24"/>
          <w:szCs w:val="24"/>
        </w:rPr>
      </w:pPr>
      <w:r w:rsidRPr="008775D5">
        <w:rPr>
          <w:rFonts w:ascii="Cambria" w:hAnsi="Cambria" w:cs="Times New Roman"/>
          <w:sz w:val="24"/>
          <w:szCs w:val="24"/>
        </w:rPr>
        <w:t>Devizni rizik nastaje u slučajevima neusklađenosti finansijskih sredstava i obaveza izraženih u stranoj valuti i/ili sa valutnom klauzulom. U mjeri u kojoj je to moguće, Društvo minimizira devizni rizik kroz minimiziranje otvorene devizne pozicije. Rizik od promjene kamatnih stopa Društvo je izloženo raznim rizicima koji kroz efekte promjena visine tržišnih kamatnih stopa djeluju na njegov finansijski položaj i tokove gotovine. Poslovanje Društva je izloženo riziku promjene kamatnih stopa u mjeri u kojoj kamatonosna sredstva (uključujući investicije) i kamatonosne obaveze dospijevaju za naplatu u različito vrijeme ili u različitim iznosima. S obzirom da Društvo nema značajnu kamatonosnu imovinu, prihod Društva i tokovi gotovine su u velikoj mjeri nezavisni od promjena tržišnih kamatnih stopa. Rizik Društva od promjena fer vrijednosti kamatnih stopa proističe prvenstveno iz obaveza po osnovu primljenih kratkoročnih pozajmica od banaka. Aktivnosti upravljanja rizicima imaju za cilj da optimiziraju neto rashod od kamata, uz uslov da su tržišne kamatne stope na nivou koji je u skladu sa poslovnom strategijom Društva.</w:t>
      </w:r>
    </w:p>
    <w:p w14:paraId="1B43F86D" w14:textId="77777777" w:rsidR="00BE634A" w:rsidRPr="008775D5" w:rsidRDefault="00BE634A" w:rsidP="00775E5E">
      <w:pPr>
        <w:spacing w:line="240" w:lineRule="auto"/>
        <w:jc w:val="both"/>
        <w:rPr>
          <w:rFonts w:ascii="Cambria" w:hAnsi="Cambria" w:cs="Times New Roman"/>
          <w:sz w:val="24"/>
          <w:szCs w:val="24"/>
        </w:rPr>
      </w:pPr>
    </w:p>
    <w:p w14:paraId="6D656A52" w14:textId="77777777" w:rsidR="000E7C26" w:rsidRDefault="000E7C26" w:rsidP="00775E5E">
      <w:pPr>
        <w:spacing w:line="240" w:lineRule="auto"/>
        <w:jc w:val="both"/>
        <w:rPr>
          <w:rFonts w:ascii="Cambria" w:hAnsi="Cambria" w:cs="Times New Roman"/>
          <w:b/>
          <w:i/>
          <w:sz w:val="24"/>
          <w:szCs w:val="24"/>
        </w:rPr>
      </w:pPr>
    </w:p>
    <w:p w14:paraId="0AFE64EC" w14:textId="77777777" w:rsidR="000E7C26" w:rsidRDefault="000E7C26" w:rsidP="00775E5E">
      <w:pPr>
        <w:spacing w:line="240" w:lineRule="auto"/>
        <w:jc w:val="both"/>
        <w:rPr>
          <w:rFonts w:ascii="Cambria" w:hAnsi="Cambria" w:cs="Times New Roman"/>
          <w:b/>
          <w:i/>
          <w:sz w:val="24"/>
          <w:szCs w:val="24"/>
        </w:rPr>
      </w:pPr>
    </w:p>
    <w:p w14:paraId="7CB41BFB" w14:textId="77777777" w:rsidR="00CA292C" w:rsidRDefault="00CA292C" w:rsidP="00775E5E">
      <w:pPr>
        <w:spacing w:line="240" w:lineRule="auto"/>
        <w:jc w:val="both"/>
        <w:rPr>
          <w:rFonts w:ascii="Cambria" w:hAnsi="Cambria" w:cs="Times New Roman"/>
          <w:b/>
          <w:i/>
          <w:sz w:val="24"/>
          <w:szCs w:val="24"/>
        </w:rPr>
      </w:pPr>
    </w:p>
    <w:p w14:paraId="0458F868" w14:textId="77777777" w:rsidR="00CA292C" w:rsidRDefault="00CA292C" w:rsidP="00775E5E">
      <w:pPr>
        <w:spacing w:line="240" w:lineRule="auto"/>
        <w:jc w:val="both"/>
        <w:rPr>
          <w:rFonts w:ascii="Cambria" w:hAnsi="Cambria" w:cs="Times New Roman"/>
          <w:b/>
          <w:i/>
          <w:sz w:val="24"/>
          <w:szCs w:val="24"/>
        </w:rPr>
      </w:pPr>
    </w:p>
    <w:p w14:paraId="3E9F54C6" w14:textId="66ACB73C" w:rsidR="00546BDA" w:rsidRPr="008775D5" w:rsidRDefault="00546BDA" w:rsidP="00775E5E">
      <w:pPr>
        <w:spacing w:line="240" w:lineRule="auto"/>
        <w:jc w:val="both"/>
        <w:rPr>
          <w:rFonts w:ascii="Cambria" w:hAnsi="Cambria" w:cs="Times New Roman"/>
          <w:b/>
          <w:i/>
          <w:sz w:val="24"/>
          <w:szCs w:val="24"/>
        </w:rPr>
      </w:pPr>
      <w:r w:rsidRPr="008775D5">
        <w:rPr>
          <w:rFonts w:ascii="Cambria" w:hAnsi="Cambria" w:cs="Times New Roman"/>
          <w:b/>
          <w:i/>
          <w:sz w:val="24"/>
          <w:szCs w:val="24"/>
        </w:rPr>
        <w:lastRenderedPageBreak/>
        <w:t>11</w:t>
      </w:r>
      <w:r w:rsidR="001A7A01" w:rsidRPr="008775D5">
        <w:rPr>
          <w:rFonts w:ascii="Cambria" w:hAnsi="Cambria" w:cs="Times New Roman"/>
          <w:b/>
          <w:i/>
          <w:sz w:val="24"/>
          <w:szCs w:val="24"/>
        </w:rPr>
        <w:t>.2. Rizik likvidnosti</w:t>
      </w:r>
    </w:p>
    <w:p w14:paraId="3617708B" w14:textId="5C726954" w:rsidR="00D254BB" w:rsidRDefault="001A7A01" w:rsidP="00775E5E">
      <w:pPr>
        <w:spacing w:line="240" w:lineRule="auto"/>
        <w:jc w:val="both"/>
        <w:rPr>
          <w:rFonts w:ascii="Cambria" w:hAnsi="Cambria" w:cs="Times New Roman"/>
          <w:sz w:val="24"/>
          <w:szCs w:val="24"/>
        </w:rPr>
      </w:pPr>
      <w:r w:rsidRPr="008775D5">
        <w:rPr>
          <w:rFonts w:ascii="Cambria" w:hAnsi="Cambria" w:cs="Times New Roman"/>
          <w:sz w:val="24"/>
          <w:szCs w:val="24"/>
        </w:rPr>
        <w:t xml:space="preserve"> Rizik likvidnosti je rizik da Društvo neće biti u mogućnosti da finansira sredstva odgovarajućim izvorima finansiranja sa stanovišta rokova i stopa i rizik nemogućnosti da se sredstvo realizuje po razumnoj cijeni u odgovarajućem vremenskom okviru. Društvo upravlja likvidnošću sa ciljem da osigura da izvori finansiranja budu raspoloživi za izmirenje obaveza u trenutku njihovog dospijeća. </w:t>
      </w:r>
    </w:p>
    <w:p w14:paraId="22C9A243" w14:textId="77777777" w:rsidR="000E7C26" w:rsidRPr="008775D5" w:rsidRDefault="000E7C26" w:rsidP="00775E5E">
      <w:pPr>
        <w:spacing w:line="240" w:lineRule="auto"/>
        <w:jc w:val="both"/>
        <w:rPr>
          <w:rFonts w:ascii="Cambria" w:hAnsi="Cambria" w:cs="Times New Roman"/>
          <w:sz w:val="24"/>
          <w:szCs w:val="24"/>
        </w:rPr>
      </w:pPr>
    </w:p>
    <w:p w14:paraId="437D04F6" w14:textId="77777777" w:rsidR="00546BDA" w:rsidRPr="008775D5" w:rsidRDefault="00546BDA" w:rsidP="00775E5E">
      <w:pPr>
        <w:spacing w:line="240" w:lineRule="auto"/>
        <w:jc w:val="both"/>
        <w:rPr>
          <w:rFonts w:ascii="Cambria" w:hAnsi="Cambria" w:cs="Times New Roman"/>
          <w:b/>
          <w:i/>
          <w:sz w:val="24"/>
          <w:szCs w:val="24"/>
        </w:rPr>
      </w:pPr>
      <w:r w:rsidRPr="008775D5">
        <w:rPr>
          <w:rFonts w:ascii="Cambria" w:hAnsi="Cambria" w:cs="Times New Roman"/>
          <w:b/>
          <w:i/>
          <w:sz w:val="24"/>
          <w:szCs w:val="24"/>
        </w:rPr>
        <w:t xml:space="preserve">11.3. Kreditni rizik </w:t>
      </w:r>
    </w:p>
    <w:p w14:paraId="2E341DDF" w14:textId="57934A03" w:rsidR="00546BDA" w:rsidRPr="008775D5" w:rsidRDefault="00546BDA" w:rsidP="00775E5E">
      <w:pPr>
        <w:spacing w:line="240" w:lineRule="auto"/>
        <w:jc w:val="both"/>
        <w:rPr>
          <w:rFonts w:ascii="Cambria" w:hAnsi="Cambria" w:cs="Times New Roman"/>
          <w:sz w:val="24"/>
          <w:szCs w:val="24"/>
        </w:rPr>
      </w:pPr>
      <w:r w:rsidRPr="008775D5">
        <w:rPr>
          <w:rFonts w:ascii="Cambria" w:hAnsi="Cambria" w:cs="Times New Roman"/>
          <w:sz w:val="24"/>
          <w:szCs w:val="24"/>
        </w:rPr>
        <w:t>Kreditni rizik je rizik nastanka finansijskih gubitaka Društva kao rezultat kašnjenja klijenata ili druge ugovorne strane u izmirivanju ugovornih obaveza. Kreditni rizik se prvenstveno vezuje za izloženost Društva po osnovu gotovine i gotovinskih ekvivalenata, depozita u bankama i finansijskim institucijama, potraživanja od pravnih lica i preuzetih obaveza.</w:t>
      </w:r>
    </w:p>
    <w:p w14:paraId="488B26B0" w14:textId="77777777" w:rsidR="00044681" w:rsidRPr="008775D5" w:rsidRDefault="00044681" w:rsidP="00775E5E">
      <w:pPr>
        <w:spacing w:line="240" w:lineRule="auto"/>
        <w:jc w:val="both"/>
        <w:rPr>
          <w:rFonts w:ascii="Cambria" w:hAnsi="Cambria" w:cs="Times New Roman"/>
          <w:sz w:val="24"/>
          <w:szCs w:val="24"/>
        </w:rPr>
      </w:pPr>
    </w:p>
    <w:p w14:paraId="206AC469" w14:textId="5536CAEF" w:rsidR="00546BDA" w:rsidRDefault="00140C49" w:rsidP="00546BDA">
      <w:pPr>
        <w:pStyle w:val="BodyText"/>
        <w:spacing w:line="276" w:lineRule="auto"/>
        <w:rPr>
          <w:rFonts w:ascii="Cambria" w:hAnsi="Cambria"/>
          <w:lang w:val="sr-Latn-CS"/>
        </w:rPr>
      </w:pPr>
      <w:r w:rsidRPr="008775D5">
        <w:rPr>
          <w:rFonts w:ascii="Cambria" w:hAnsi="Cambria"/>
          <w:lang w:val="sr-Latn-CS"/>
        </w:rPr>
        <w:t xml:space="preserve">Banja Luka, </w:t>
      </w:r>
      <w:r w:rsidR="00BE634A">
        <w:rPr>
          <w:rFonts w:ascii="Cambria" w:hAnsi="Cambria"/>
          <w:lang w:val="sr-Latn-CS"/>
        </w:rPr>
        <w:t>juli</w:t>
      </w:r>
      <w:r w:rsidR="00833F61" w:rsidRPr="008775D5">
        <w:rPr>
          <w:rFonts w:ascii="Cambria" w:hAnsi="Cambria"/>
          <w:lang w:val="sr-Latn-CS"/>
        </w:rPr>
        <w:t xml:space="preserve"> 202</w:t>
      </w:r>
      <w:r w:rsidR="00C1496C" w:rsidRPr="008775D5">
        <w:rPr>
          <w:rFonts w:ascii="Cambria" w:hAnsi="Cambria"/>
          <w:lang w:val="sr-Latn-CS"/>
        </w:rPr>
        <w:t>3</w:t>
      </w:r>
      <w:r w:rsidR="00546BDA" w:rsidRPr="008775D5">
        <w:rPr>
          <w:rFonts w:ascii="Cambria" w:hAnsi="Cambria"/>
          <w:lang w:val="sr-Latn-CS"/>
        </w:rPr>
        <w:t>. godine</w:t>
      </w:r>
    </w:p>
    <w:p w14:paraId="3C44CC39" w14:textId="365B7C33" w:rsidR="00286D7F" w:rsidRDefault="00286D7F" w:rsidP="00546BDA">
      <w:pPr>
        <w:pStyle w:val="BodyText"/>
        <w:spacing w:line="276" w:lineRule="auto"/>
        <w:rPr>
          <w:rFonts w:ascii="Cambria" w:hAnsi="Cambria"/>
          <w:lang w:val="sr-Latn-CS"/>
        </w:rPr>
      </w:pPr>
    </w:p>
    <w:p w14:paraId="6EB89408" w14:textId="77777777" w:rsidR="00286D7F" w:rsidRPr="008775D5" w:rsidRDefault="00286D7F" w:rsidP="00546BDA">
      <w:pPr>
        <w:pStyle w:val="BodyText"/>
        <w:spacing w:line="276" w:lineRule="auto"/>
        <w:rPr>
          <w:rFonts w:ascii="Cambria" w:hAnsi="Cambria"/>
          <w:lang w:val="sr-Latn-CS"/>
        </w:rPr>
      </w:pPr>
    </w:p>
    <w:p w14:paraId="3AFDC62A" w14:textId="77777777" w:rsidR="00546BDA" w:rsidRPr="008775D5" w:rsidRDefault="00546BDA" w:rsidP="00546BDA">
      <w:pPr>
        <w:pStyle w:val="BodyText"/>
        <w:spacing w:line="276" w:lineRule="auto"/>
        <w:jc w:val="right"/>
        <w:rPr>
          <w:rFonts w:ascii="Cambria" w:hAnsi="Cambria"/>
          <w:lang w:val="sr-Latn-CS"/>
        </w:rPr>
      </w:pPr>
      <w:r w:rsidRPr="008775D5">
        <w:rPr>
          <w:rFonts w:ascii="Cambria" w:hAnsi="Cambria"/>
          <w:lang w:val="sr-Latn-CS"/>
        </w:rPr>
        <w:t xml:space="preserve">Lice odgovorno za sastavljanje nota: </w:t>
      </w:r>
    </w:p>
    <w:p w14:paraId="2C341750" w14:textId="77777777" w:rsidR="00546BDA" w:rsidRPr="008775D5" w:rsidRDefault="00546BDA" w:rsidP="00546BDA">
      <w:pPr>
        <w:pStyle w:val="BodyText"/>
        <w:spacing w:line="276" w:lineRule="auto"/>
        <w:jc w:val="right"/>
        <w:rPr>
          <w:rFonts w:ascii="Cambria" w:hAnsi="Cambria"/>
          <w:lang w:val="sr-Latn-CS"/>
        </w:rPr>
      </w:pPr>
      <w:r w:rsidRPr="008775D5">
        <w:rPr>
          <w:rFonts w:ascii="Cambria" w:hAnsi="Cambria"/>
          <w:lang w:val="sr-Latn-CS"/>
        </w:rPr>
        <w:t xml:space="preserve">-------------------------------------------- </w:t>
      </w:r>
    </w:p>
    <w:p w14:paraId="713FB19C" w14:textId="62AD83E6" w:rsidR="00546BDA" w:rsidRPr="008775D5" w:rsidRDefault="000845AF" w:rsidP="000845AF">
      <w:pPr>
        <w:pStyle w:val="BodyText"/>
        <w:spacing w:line="276" w:lineRule="auto"/>
        <w:jc w:val="center"/>
        <w:rPr>
          <w:rFonts w:ascii="Cambria" w:hAnsi="Cambria"/>
          <w:lang w:val="sr-Latn-CS"/>
        </w:rPr>
      </w:pPr>
      <w:r w:rsidRPr="008775D5">
        <w:rPr>
          <w:rFonts w:ascii="Cambria" w:hAnsi="Cambria"/>
          <w:lang w:val="sr-Latn-CS"/>
        </w:rPr>
        <w:t xml:space="preserve">                                                                                                     </w:t>
      </w:r>
      <w:r w:rsidR="00B472CE" w:rsidRPr="008775D5">
        <w:rPr>
          <w:rFonts w:ascii="Cambria" w:hAnsi="Cambria"/>
          <w:lang w:val="sr-Latn-CS"/>
        </w:rPr>
        <w:t>Milja Tomašević</w:t>
      </w:r>
      <w:r w:rsidR="00742E08" w:rsidRPr="008775D5">
        <w:rPr>
          <w:rFonts w:ascii="Cambria" w:hAnsi="Cambria"/>
          <w:lang w:val="sr-Latn-CS"/>
        </w:rPr>
        <w:t xml:space="preserve"> br.SR</w:t>
      </w:r>
      <w:r w:rsidR="00B472CE" w:rsidRPr="008775D5">
        <w:rPr>
          <w:rFonts w:ascii="Cambria" w:hAnsi="Cambria"/>
          <w:lang w:val="sr-Latn-CS"/>
        </w:rPr>
        <w:t>T</w:t>
      </w:r>
      <w:r w:rsidR="00742E08" w:rsidRPr="008775D5">
        <w:rPr>
          <w:rFonts w:ascii="Cambria" w:hAnsi="Cambria"/>
          <w:lang w:val="sr-Latn-CS"/>
        </w:rPr>
        <w:t>-</w:t>
      </w:r>
      <w:r w:rsidRPr="008775D5">
        <w:rPr>
          <w:rFonts w:ascii="Cambria" w:hAnsi="Cambria"/>
          <w:lang w:val="sr-Latn-CS"/>
        </w:rPr>
        <w:t>0</w:t>
      </w:r>
      <w:r w:rsidR="00C1496C" w:rsidRPr="008775D5">
        <w:rPr>
          <w:rFonts w:ascii="Cambria" w:hAnsi="Cambria"/>
          <w:lang w:val="sr-Latn-CS"/>
        </w:rPr>
        <w:t>00</w:t>
      </w:r>
      <w:r w:rsidRPr="008775D5">
        <w:rPr>
          <w:rFonts w:ascii="Cambria" w:hAnsi="Cambria"/>
          <w:lang w:val="sr-Latn-CS"/>
        </w:rPr>
        <w:t>7</w:t>
      </w:r>
      <w:r w:rsidR="004654E8" w:rsidRPr="008775D5">
        <w:rPr>
          <w:rFonts w:ascii="Cambria" w:hAnsi="Cambria"/>
          <w:lang w:val="sr-Latn-CS"/>
        </w:rPr>
        <w:t>/</w:t>
      </w:r>
      <w:r w:rsidR="00EC124D" w:rsidRPr="008775D5">
        <w:rPr>
          <w:rFonts w:ascii="Cambria" w:hAnsi="Cambria"/>
          <w:lang w:val="sr-Latn-CS"/>
        </w:rPr>
        <w:t>2</w:t>
      </w:r>
      <w:r w:rsidR="00C1496C" w:rsidRPr="008775D5">
        <w:rPr>
          <w:rFonts w:ascii="Cambria" w:hAnsi="Cambria"/>
          <w:lang w:val="sr-Latn-CS"/>
        </w:rPr>
        <w:t>3</w:t>
      </w:r>
    </w:p>
    <w:p w14:paraId="59DF98EA" w14:textId="77777777" w:rsidR="00B91ED8" w:rsidRPr="008775D5" w:rsidRDefault="00B91ED8" w:rsidP="00B91ED8">
      <w:pPr>
        <w:pStyle w:val="BodyText"/>
        <w:spacing w:line="276" w:lineRule="auto"/>
        <w:jc w:val="right"/>
        <w:rPr>
          <w:rFonts w:ascii="Cambria" w:hAnsi="Cambria"/>
          <w:lang w:val="sr-Latn-CS"/>
        </w:rPr>
      </w:pPr>
    </w:p>
    <w:p w14:paraId="338DAF13" w14:textId="12055DAC" w:rsidR="00546BDA" w:rsidRPr="008775D5" w:rsidRDefault="00546BDA" w:rsidP="00E7629B">
      <w:pPr>
        <w:pStyle w:val="BodyText"/>
        <w:spacing w:line="276" w:lineRule="auto"/>
        <w:jc w:val="right"/>
        <w:rPr>
          <w:rFonts w:ascii="Cambria" w:hAnsi="Cambria"/>
          <w:color w:val="000000"/>
          <w:lang w:val="sr-Latn-CS"/>
        </w:rPr>
      </w:pPr>
      <w:r w:rsidRPr="008775D5">
        <w:rPr>
          <w:rFonts w:ascii="Cambria" w:hAnsi="Cambria"/>
          <w:color w:val="000000"/>
          <w:lang w:val="sr-Latn-CS"/>
        </w:rPr>
        <w:t>Izvršni direktori:</w:t>
      </w:r>
      <w:r w:rsidRPr="008775D5">
        <w:rPr>
          <w:rFonts w:ascii="Cambria" w:hAnsi="Cambria"/>
          <w:lang w:val="sr-Latn-CS"/>
        </w:rPr>
        <w:t xml:space="preserve"> </w:t>
      </w:r>
    </w:p>
    <w:p w14:paraId="67F9EFDE" w14:textId="77777777" w:rsidR="00546BDA" w:rsidRPr="008775D5" w:rsidRDefault="00546BDA" w:rsidP="00546BDA">
      <w:pPr>
        <w:pStyle w:val="BodyText"/>
        <w:spacing w:line="276" w:lineRule="auto"/>
        <w:jc w:val="right"/>
        <w:rPr>
          <w:rFonts w:ascii="Cambria" w:hAnsi="Cambria"/>
          <w:lang w:val="sr-Latn-CS"/>
        </w:rPr>
      </w:pPr>
      <w:r w:rsidRPr="008775D5">
        <w:rPr>
          <w:rFonts w:ascii="Cambria" w:hAnsi="Cambria"/>
          <w:lang w:val="sr-Latn-CS"/>
        </w:rPr>
        <w:t>--------------------------------------------</w:t>
      </w:r>
    </w:p>
    <w:p w14:paraId="7EE6FFD4" w14:textId="7EA468A3" w:rsidR="00EC124D" w:rsidRPr="008775D5" w:rsidRDefault="000845AF" w:rsidP="00EC124D">
      <w:pPr>
        <w:pStyle w:val="BodyText"/>
        <w:spacing w:line="276" w:lineRule="auto"/>
        <w:jc w:val="right"/>
        <w:rPr>
          <w:rFonts w:ascii="Cambria" w:hAnsi="Cambria"/>
          <w:lang w:val="sr-Latn-CS"/>
        </w:rPr>
      </w:pPr>
      <w:r w:rsidRPr="008775D5">
        <w:rPr>
          <w:rFonts w:ascii="Cambria" w:hAnsi="Cambria"/>
          <w:lang w:val="sr-Latn-CS"/>
        </w:rPr>
        <w:t>Vladan Jović</w:t>
      </w:r>
    </w:p>
    <w:p w14:paraId="3E7B7341" w14:textId="7EF16A76" w:rsidR="00546BDA" w:rsidRPr="008775D5" w:rsidRDefault="00546BDA" w:rsidP="00546BDA">
      <w:pPr>
        <w:pStyle w:val="BodyText"/>
        <w:spacing w:line="276" w:lineRule="auto"/>
        <w:jc w:val="right"/>
        <w:rPr>
          <w:rFonts w:ascii="Cambria" w:hAnsi="Cambria"/>
          <w:lang w:val="sr-Latn-CS"/>
        </w:rPr>
      </w:pPr>
      <w:r w:rsidRPr="008775D5">
        <w:rPr>
          <w:rFonts w:ascii="Cambria" w:hAnsi="Cambria"/>
          <w:lang w:val="sr-Latn-CS"/>
        </w:rPr>
        <w:t>--------------------------------------------</w:t>
      </w:r>
    </w:p>
    <w:p w14:paraId="0E8E3A37" w14:textId="3FD52449" w:rsidR="00EC124D" w:rsidRPr="008775D5" w:rsidRDefault="000845AF" w:rsidP="000845AF">
      <w:pPr>
        <w:pStyle w:val="BodyText"/>
        <w:spacing w:line="276" w:lineRule="auto"/>
        <w:jc w:val="right"/>
        <w:rPr>
          <w:rFonts w:ascii="Cambria" w:hAnsi="Cambria"/>
          <w:lang w:val="sr-Latn-CS"/>
        </w:rPr>
      </w:pPr>
      <w:r w:rsidRPr="008775D5">
        <w:rPr>
          <w:rFonts w:ascii="Cambria" w:hAnsi="Cambria"/>
          <w:lang w:val="sr-Latn-CS"/>
        </w:rPr>
        <w:t>Pero Jandrić</w:t>
      </w:r>
    </w:p>
    <w:sectPr w:rsidR="00EC124D" w:rsidRPr="008775D5" w:rsidSect="004F3110">
      <w:pgSz w:w="12240" w:h="15840"/>
      <w:pgMar w:top="1134"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A6361"/>
    <w:multiLevelType w:val="hybridMultilevel"/>
    <w:tmpl w:val="8BC8EAF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E5215EC"/>
    <w:multiLevelType w:val="hybridMultilevel"/>
    <w:tmpl w:val="6BE0D8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281978EC"/>
    <w:multiLevelType w:val="hybridMultilevel"/>
    <w:tmpl w:val="A7D653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A33F34"/>
    <w:multiLevelType w:val="hybridMultilevel"/>
    <w:tmpl w:val="0166FC56"/>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4" w15:restartNumberingAfterBreak="0">
    <w:nsid w:val="2BC73888"/>
    <w:multiLevelType w:val="hybridMultilevel"/>
    <w:tmpl w:val="5A76C510"/>
    <w:lvl w:ilvl="0" w:tplc="04090001">
      <w:start w:val="1"/>
      <w:numFmt w:val="bullet"/>
      <w:lvlText w:val=""/>
      <w:lvlJc w:val="left"/>
      <w:pPr>
        <w:ind w:left="436" w:hanging="360"/>
      </w:pPr>
      <w:rPr>
        <w:rFonts w:ascii="Symbol" w:hAnsi="Symbol" w:hint="default"/>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5" w15:restartNumberingAfterBreak="0">
    <w:nsid w:val="4C007341"/>
    <w:multiLevelType w:val="hybridMultilevel"/>
    <w:tmpl w:val="3642D2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E1B35C0"/>
    <w:multiLevelType w:val="hybridMultilevel"/>
    <w:tmpl w:val="9F4A6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EA02158"/>
    <w:multiLevelType w:val="hybridMultilevel"/>
    <w:tmpl w:val="25E89F68"/>
    <w:lvl w:ilvl="0" w:tplc="08090001">
      <w:start w:val="1"/>
      <w:numFmt w:val="bullet"/>
      <w:lvlText w:val=""/>
      <w:lvlJc w:val="left"/>
      <w:pPr>
        <w:ind w:left="1140" w:hanging="360"/>
      </w:pPr>
      <w:rPr>
        <w:rFonts w:ascii="Symbol" w:hAnsi="Symbol"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8" w15:restartNumberingAfterBreak="0">
    <w:nsid w:val="636F5803"/>
    <w:multiLevelType w:val="hybridMultilevel"/>
    <w:tmpl w:val="56601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341469A"/>
    <w:multiLevelType w:val="hybridMultilevel"/>
    <w:tmpl w:val="6B82FBF8"/>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0" w15:restartNumberingAfterBreak="0">
    <w:nsid w:val="7D033069"/>
    <w:multiLevelType w:val="multilevel"/>
    <w:tmpl w:val="61E4C6C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238441443">
    <w:abstractNumId w:val="4"/>
  </w:num>
  <w:num w:numId="2" w16cid:durableId="671640422">
    <w:abstractNumId w:val="9"/>
  </w:num>
  <w:num w:numId="3" w16cid:durableId="1139568256">
    <w:abstractNumId w:val="5"/>
  </w:num>
  <w:num w:numId="4" w16cid:durableId="2084140366">
    <w:abstractNumId w:val="10"/>
  </w:num>
  <w:num w:numId="5" w16cid:durableId="1201673707">
    <w:abstractNumId w:val="7"/>
  </w:num>
  <w:num w:numId="6" w16cid:durableId="1700004181">
    <w:abstractNumId w:val="3"/>
  </w:num>
  <w:num w:numId="7" w16cid:durableId="925387239">
    <w:abstractNumId w:val="8"/>
  </w:num>
  <w:num w:numId="8" w16cid:durableId="1391811059">
    <w:abstractNumId w:val="2"/>
  </w:num>
  <w:num w:numId="9" w16cid:durableId="1534226913">
    <w:abstractNumId w:val="1"/>
  </w:num>
  <w:num w:numId="10" w16cid:durableId="849180162">
    <w:abstractNumId w:val="0"/>
  </w:num>
  <w:num w:numId="11" w16cid:durableId="21349038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5D5"/>
    <w:rsid w:val="0000357A"/>
    <w:rsid w:val="00007953"/>
    <w:rsid w:val="000103A6"/>
    <w:rsid w:val="00021355"/>
    <w:rsid w:val="000327E9"/>
    <w:rsid w:val="0003290D"/>
    <w:rsid w:val="00032D46"/>
    <w:rsid w:val="00033B48"/>
    <w:rsid w:val="00036000"/>
    <w:rsid w:val="00036C67"/>
    <w:rsid w:val="00037CDA"/>
    <w:rsid w:val="00043133"/>
    <w:rsid w:val="00044681"/>
    <w:rsid w:val="00047E57"/>
    <w:rsid w:val="000540E8"/>
    <w:rsid w:val="00060520"/>
    <w:rsid w:val="0006212C"/>
    <w:rsid w:val="00066516"/>
    <w:rsid w:val="0006754C"/>
    <w:rsid w:val="00072400"/>
    <w:rsid w:val="000743A1"/>
    <w:rsid w:val="00075210"/>
    <w:rsid w:val="000845AF"/>
    <w:rsid w:val="000A0614"/>
    <w:rsid w:val="000A496E"/>
    <w:rsid w:val="000B15C4"/>
    <w:rsid w:val="000B1BBD"/>
    <w:rsid w:val="000C55D9"/>
    <w:rsid w:val="000C660F"/>
    <w:rsid w:val="000D1F40"/>
    <w:rsid w:val="000D2E43"/>
    <w:rsid w:val="000E7C26"/>
    <w:rsid w:val="000F126B"/>
    <w:rsid w:val="00105DB0"/>
    <w:rsid w:val="001114BD"/>
    <w:rsid w:val="00123216"/>
    <w:rsid w:val="00126019"/>
    <w:rsid w:val="001336A5"/>
    <w:rsid w:val="0013445D"/>
    <w:rsid w:val="001344F2"/>
    <w:rsid w:val="00136728"/>
    <w:rsid w:val="00140C49"/>
    <w:rsid w:val="001511F3"/>
    <w:rsid w:val="00162A54"/>
    <w:rsid w:val="00166B48"/>
    <w:rsid w:val="001765CA"/>
    <w:rsid w:val="00176621"/>
    <w:rsid w:val="001918BE"/>
    <w:rsid w:val="001A1C3E"/>
    <w:rsid w:val="001A7A01"/>
    <w:rsid w:val="001B3DC5"/>
    <w:rsid w:val="001B5689"/>
    <w:rsid w:val="001C377B"/>
    <w:rsid w:val="001C745E"/>
    <w:rsid w:val="001D12CF"/>
    <w:rsid w:val="001F2564"/>
    <w:rsid w:val="002013EA"/>
    <w:rsid w:val="0020379F"/>
    <w:rsid w:val="00210006"/>
    <w:rsid w:val="0022446A"/>
    <w:rsid w:val="00224515"/>
    <w:rsid w:val="00235D4F"/>
    <w:rsid w:val="00250557"/>
    <w:rsid w:val="00257E0A"/>
    <w:rsid w:val="00274D96"/>
    <w:rsid w:val="00275ECF"/>
    <w:rsid w:val="0028156F"/>
    <w:rsid w:val="002835AC"/>
    <w:rsid w:val="00286D7F"/>
    <w:rsid w:val="00287DAD"/>
    <w:rsid w:val="002A794E"/>
    <w:rsid w:val="002B030C"/>
    <w:rsid w:val="002B38C6"/>
    <w:rsid w:val="002D28E0"/>
    <w:rsid w:val="002D7E4A"/>
    <w:rsid w:val="002E025B"/>
    <w:rsid w:val="002E65F5"/>
    <w:rsid w:val="002E73AF"/>
    <w:rsid w:val="002F70D2"/>
    <w:rsid w:val="003031E0"/>
    <w:rsid w:val="00312238"/>
    <w:rsid w:val="00317647"/>
    <w:rsid w:val="00320CEA"/>
    <w:rsid w:val="00322D63"/>
    <w:rsid w:val="00330F9B"/>
    <w:rsid w:val="003352B9"/>
    <w:rsid w:val="003375FE"/>
    <w:rsid w:val="00342284"/>
    <w:rsid w:val="003442BD"/>
    <w:rsid w:val="003745D5"/>
    <w:rsid w:val="003A29AC"/>
    <w:rsid w:val="003B7EFD"/>
    <w:rsid w:val="003D42D7"/>
    <w:rsid w:val="003D7B43"/>
    <w:rsid w:val="003E003B"/>
    <w:rsid w:val="003E21EF"/>
    <w:rsid w:val="003E6460"/>
    <w:rsid w:val="00407CA2"/>
    <w:rsid w:val="00422085"/>
    <w:rsid w:val="004228E1"/>
    <w:rsid w:val="00424105"/>
    <w:rsid w:val="004308A5"/>
    <w:rsid w:val="00430E2B"/>
    <w:rsid w:val="00447AB2"/>
    <w:rsid w:val="00452826"/>
    <w:rsid w:val="00453CC6"/>
    <w:rsid w:val="00462384"/>
    <w:rsid w:val="004651FE"/>
    <w:rsid w:val="004654E8"/>
    <w:rsid w:val="004674A1"/>
    <w:rsid w:val="004823B0"/>
    <w:rsid w:val="00483433"/>
    <w:rsid w:val="00493D05"/>
    <w:rsid w:val="004A1DAB"/>
    <w:rsid w:val="004A30BF"/>
    <w:rsid w:val="004A6EA3"/>
    <w:rsid w:val="004C1126"/>
    <w:rsid w:val="004C4977"/>
    <w:rsid w:val="004C668D"/>
    <w:rsid w:val="004D510A"/>
    <w:rsid w:val="004F3110"/>
    <w:rsid w:val="005016DF"/>
    <w:rsid w:val="005045A6"/>
    <w:rsid w:val="00515D31"/>
    <w:rsid w:val="005224CB"/>
    <w:rsid w:val="0052725A"/>
    <w:rsid w:val="00536D5C"/>
    <w:rsid w:val="00546BDA"/>
    <w:rsid w:val="00553A3A"/>
    <w:rsid w:val="0056638B"/>
    <w:rsid w:val="00567D43"/>
    <w:rsid w:val="0057026F"/>
    <w:rsid w:val="005738BD"/>
    <w:rsid w:val="00574A10"/>
    <w:rsid w:val="00587451"/>
    <w:rsid w:val="00591A5D"/>
    <w:rsid w:val="005A2A92"/>
    <w:rsid w:val="005A38C8"/>
    <w:rsid w:val="005B6CEA"/>
    <w:rsid w:val="005C1030"/>
    <w:rsid w:val="005C5F61"/>
    <w:rsid w:val="005F0A2A"/>
    <w:rsid w:val="005F2894"/>
    <w:rsid w:val="005F3FA9"/>
    <w:rsid w:val="005F7493"/>
    <w:rsid w:val="00601E5F"/>
    <w:rsid w:val="00604B1A"/>
    <w:rsid w:val="00604DD2"/>
    <w:rsid w:val="00605B80"/>
    <w:rsid w:val="006104AD"/>
    <w:rsid w:val="006147EB"/>
    <w:rsid w:val="00624000"/>
    <w:rsid w:val="006327EF"/>
    <w:rsid w:val="00651F25"/>
    <w:rsid w:val="00654D92"/>
    <w:rsid w:val="0066486B"/>
    <w:rsid w:val="00673534"/>
    <w:rsid w:val="0068047C"/>
    <w:rsid w:val="0068734C"/>
    <w:rsid w:val="006876F8"/>
    <w:rsid w:val="00691751"/>
    <w:rsid w:val="006A0D9C"/>
    <w:rsid w:val="006A5F14"/>
    <w:rsid w:val="006B5472"/>
    <w:rsid w:val="006B7B69"/>
    <w:rsid w:val="006C2C4A"/>
    <w:rsid w:val="006C4AAF"/>
    <w:rsid w:val="006E165A"/>
    <w:rsid w:val="006E39D9"/>
    <w:rsid w:val="006E7906"/>
    <w:rsid w:val="00710DB4"/>
    <w:rsid w:val="007159AD"/>
    <w:rsid w:val="00720A45"/>
    <w:rsid w:val="007349CA"/>
    <w:rsid w:val="007372CA"/>
    <w:rsid w:val="00737B8C"/>
    <w:rsid w:val="00742E08"/>
    <w:rsid w:val="007436F2"/>
    <w:rsid w:val="00763FB5"/>
    <w:rsid w:val="00766DED"/>
    <w:rsid w:val="0077162F"/>
    <w:rsid w:val="00771D67"/>
    <w:rsid w:val="00775E5E"/>
    <w:rsid w:val="00780C22"/>
    <w:rsid w:val="00794C67"/>
    <w:rsid w:val="00797410"/>
    <w:rsid w:val="007A62C6"/>
    <w:rsid w:val="007A630A"/>
    <w:rsid w:val="007B51C4"/>
    <w:rsid w:val="007B54D3"/>
    <w:rsid w:val="007B5B25"/>
    <w:rsid w:val="007B6A23"/>
    <w:rsid w:val="007B7505"/>
    <w:rsid w:val="007D041D"/>
    <w:rsid w:val="007F4513"/>
    <w:rsid w:val="0083243E"/>
    <w:rsid w:val="00833F61"/>
    <w:rsid w:val="00835903"/>
    <w:rsid w:val="00835B7A"/>
    <w:rsid w:val="00837231"/>
    <w:rsid w:val="00837430"/>
    <w:rsid w:val="00843EFE"/>
    <w:rsid w:val="00851C9D"/>
    <w:rsid w:val="00874C51"/>
    <w:rsid w:val="00874EBB"/>
    <w:rsid w:val="008775D5"/>
    <w:rsid w:val="00891D11"/>
    <w:rsid w:val="008A7151"/>
    <w:rsid w:val="008B5673"/>
    <w:rsid w:val="008F1750"/>
    <w:rsid w:val="009045A6"/>
    <w:rsid w:val="00924F11"/>
    <w:rsid w:val="00932C1D"/>
    <w:rsid w:val="00933D8A"/>
    <w:rsid w:val="009371FB"/>
    <w:rsid w:val="00945AA5"/>
    <w:rsid w:val="009613CA"/>
    <w:rsid w:val="00961877"/>
    <w:rsid w:val="00961DCF"/>
    <w:rsid w:val="00972CAC"/>
    <w:rsid w:val="00992518"/>
    <w:rsid w:val="009A734A"/>
    <w:rsid w:val="009B0ADF"/>
    <w:rsid w:val="009B0CD9"/>
    <w:rsid w:val="009E4D0D"/>
    <w:rsid w:val="00A02ED4"/>
    <w:rsid w:val="00A0418C"/>
    <w:rsid w:val="00A11FA2"/>
    <w:rsid w:val="00A15815"/>
    <w:rsid w:val="00A15C13"/>
    <w:rsid w:val="00A1710C"/>
    <w:rsid w:val="00A34373"/>
    <w:rsid w:val="00A3680D"/>
    <w:rsid w:val="00A442A7"/>
    <w:rsid w:val="00A536BC"/>
    <w:rsid w:val="00A5793E"/>
    <w:rsid w:val="00A6703C"/>
    <w:rsid w:val="00A70737"/>
    <w:rsid w:val="00A71515"/>
    <w:rsid w:val="00A74AD7"/>
    <w:rsid w:val="00A769A4"/>
    <w:rsid w:val="00A900BA"/>
    <w:rsid w:val="00A91CA3"/>
    <w:rsid w:val="00AA291C"/>
    <w:rsid w:val="00AA36A1"/>
    <w:rsid w:val="00AB57D2"/>
    <w:rsid w:val="00AC21E1"/>
    <w:rsid w:val="00AE3434"/>
    <w:rsid w:val="00AF1597"/>
    <w:rsid w:val="00B3756F"/>
    <w:rsid w:val="00B472CE"/>
    <w:rsid w:val="00B512F6"/>
    <w:rsid w:val="00B67246"/>
    <w:rsid w:val="00B906C1"/>
    <w:rsid w:val="00B9115F"/>
    <w:rsid w:val="00B91ED8"/>
    <w:rsid w:val="00B926F3"/>
    <w:rsid w:val="00BA31DE"/>
    <w:rsid w:val="00BC41DE"/>
    <w:rsid w:val="00BD0889"/>
    <w:rsid w:val="00BD6AC0"/>
    <w:rsid w:val="00BE0D52"/>
    <w:rsid w:val="00BE634A"/>
    <w:rsid w:val="00BF00A6"/>
    <w:rsid w:val="00BF1473"/>
    <w:rsid w:val="00C1496C"/>
    <w:rsid w:val="00C16B42"/>
    <w:rsid w:val="00C233C5"/>
    <w:rsid w:val="00C33DAF"/>
    <w:rsid w:val="00C3794E"/>
    <w:rsid w:val="00C41521"/>
    <w:rsid w:val="00C5762E"/>
    <w:rsid w:val="00C67F0D"/>
    <w:rsid w:val="00C72CB3"/>
    <w:rsid w:val="00C82D93"/>
    <w:rsid w:val="00C8490C"/>
    <w:rsid w:val="00C97AD6"/>
    <w:rsid w:val="00CA1B2A"/>
    <w:rsid w:val="00CA292C"/>
    <w:rsid w:val="00CA7673"/>
    <w:rsid w:val="00CC581C"/>
    <w:rsid w:val="00CD428B"/>
    <w:rsid w:val="00CD4399"/>
    <w:rsid w:val="00CD511C"/>
    <w:rsid w:val="00CD666F"/>
    <w:rsid w:val="00CE03A1"/>
    <w:rsid w:val="00CE0AE0"/>
    <w:rsid w:val="00CE4660"/>
    <w:rsid w:val="00CE77F1"/>
    <w:rsid w:val="00CF4E1D"/>
    <w:rsid w:val="00CF77D2"/>
    <w:rsid w:val="00D153B0"/>
    <w:rsid w:val="00D254BB"/>
    <w:rsid w:val="00D306F1"/>
    <w:rsid w:val="00D31639"/>
    <w:rsid w:val="00D36E8B"/>
    <w:rsid w:val="00D4061C"/>
    <w:rsid w:val="00D41AFF"/>
    <w:rsid w:val="00D50EC3"/>
    <w:rsid w:val="00D60991"/>
    <w:rsid w:val="00D67165"/>
    <w:rsid w:val="00D74098"/>
    <w:rsid w:val="00D8305C"/>
    <w:rsid w:val="00D86A1B"/>
    <w:rsid w:val="00D90BC3"/>
    <w:rsid w:val="00D956C2"/>
    <w:rsid w:val="00DA1DB3"/>
    <w:rsid w:val="00DA7331"/>
    <w:rsid w:val="00DA7B79"/>
    <w:rsid w:val="00E00A46"/>
    <w:rsid w:val="00E075F5"/>
    <w:rsid w:val="00E1295E"/>
    <w:rsid w:val="00E15F35"/>
    <w:rsid w:val="00E22688"/>
    <w:rsid w:val="00E2776C"/>
    <w:rsid w:val="00E44076"/>
    <w:rsid w:val="00E520DA"/>
    <w:rsid w:val="00E64629"/>
    <w:rsid w:val="00E64CFC"/>
    <w:rsid w:val="00E6679C"/>
    <w:rsid w:val="00E704D1"/>
    <w:rsid w:val="00E72FA1"/>
    <w:rsid w:val="00E7629B"/>
    <w:rsid w:val="00E82CAF"/>
    <w:rsid w:val="00E85545"/>
    <w:rsid w:val="00E96E14"/>
    <w:rsid w:val="00EA748F"/>
    <w:rsid w:val="00EC124D"/>
    <w:rsid w:val="00EC1A12"/>
    <w:rsid w:val="00ED083E"/>
    <w:rsid w:val="00ED1E0B"/>
    <w:rsid w:val="00EE2CE7"/>
    <w:rsid w:val="00EE77A0"/>
    <w:rsid w:val="00F065B4"/>
    <w:rsid w:val="00F20433"/>
    <w:rsid w:val="00F20B77"/>
    <w:rsid w:val="00F22024"/>
    <w:rsid w:val="00F24DDB"/>
    <w:rsid w:val="00F31DB4"/>
    <w:rsid w:val="00F34FC7"/>
    <w:rsid w:val="00F353EF"/>
    <w:rsid w:val="00F37026"/>
    <w:rsid w:val="00F4264E"/>
    <w:rsid w:val="00F44519"/>
    <w:rsid w:val="00F61FB4"/>
    <w:rsid w:val="00F7124C"/>
    <w:rsid w:val="00F75227"/>
    <w:rsid w:val="00F849DC"/>
    <w:rsid w:val="00F91C0F"/>
    <w:rsid w:val="00F965C8"/>
    <w:rsid w:val="00FA0001"/>
    <w:rsid w:val="00FA5A0E"/>
    <w:rsid w:val="00FB7C42"/>
    <w:rsid w:val="00FD1544"/>
    <w:rsid w:val="00FE3AB1"/>
    <w:rsid w:val="00FE511B"/>
    <w:rsid w:val="00FF58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827FD"/>
  <w15:docId w15:val="{9789250B-1D8C-4FDC-8184-7165D1487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bs-Latn-BA" w:eastAsia="bs-Latn-B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08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46BDA"/>
    <w:pPr>
      <w:spacing w:after="120" w:line="240" w:lineRule="auto"/>
    </w:pPr>
    <w:rPr>
      <w:rFonts w:ascii="Times New Roman" w:eastAsia="Times New Roman" w:hAnsi="Times New Roman" w:cs="Times New Roman"/>
      <w:sz w:val="24"/>
      <w:szCs w:val="24"/>
      <w:lang w:val="en-US" w:eastAsia="en-US"/>
    </w:rPr>
  </w:style>
  <w:style w:type="character" w:customStyle="1" w:styleId="BodyTextChar">
    <w:name w:val="Body Text Char"/>
    <w:basedOn w:val="DefaultParagraphFont"/>
    <w:link w:val="BodyText"/>
    <w:rsid w:val="00546BDA"/>
    <w:rPr>
      <w:rFonts w:ascii="Times New Roman" w:eastAsia="Times New Roman" w:hAnsi="Times New Roman" w:cs="Times New Roman"/>
      <w:sz w:val="24"/>
      <w:szCs w:val="24"/>
      <w:lang w:val="en-US" w:eastAsia="en-US"/>
    </w:rPr>
  </w:style>
  <w:style w:type="paragraph" w:styleId="ListParagraph">
    <w:name w:val="List Paragraph"/>
    <w:basedOn w:val="Normal"/>
    <w:uiPriority w:val="34"/>
    <w:qFormat/>
    <w:rsid w:val="00235D4F"/>
    <w:pPr>
      <w:ind w:left="720"/>
      <w:contextualSpacing/>
    </w:pPr>
  </w:style>
  <w:style w:type="paragraph" w:customStyle="1" w:styleId="Default">
    <w:name w:val="Default"/>
    <w:rsid w:val="00CE0AE0"/>
    <w:pPr>
      <w:autoSpaceDE w:val="0"/>
      <w:autoSpaceDN w:val="0"/>
      <w:adjustRightInd w:val="0"/>
      <w:spacing w:after="0" w:line="240" w:lineRule="auto"/>
    </w:pPr>
    <w:rPr>
      <w:rFonts w:ascii="Arial" w:hAnsi="Arial" w:cs="Arial"/>
      <w:color w:val="000000"/>
      <w:sz w:val="24"/>
      <w:szCs w:val="24"/>
      <w:lang w:val="en-GB" w:eastAsia="sr-Latn-BA"/>
    </w:rPr>
  </w:style>
  <w:style w:type="table" w:styleId="TableGrid">
    <w:name w:val="Table Grid"/>
    <w:basedOn w:val="TableGrid3"/>
    <w:uiPriority w:val="59"/>
    <w:rsid w:val="00553A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553A3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istTable1Light-Accent1">
    <w:name w:val="List Table 1 Light Accent 1"/>
    <w:basedOn w:val="TableNormal"/>
    <w:uiPriority w:val="46"/>
    <w:rsid w:val="00E96E14"/>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6">
    <w:name w:val="List Table 1 Light Accent 6"/>
    <w:basedOn w:val="TableNormal"/>
    <w:uiPriority w:val="46"/>
    <w:rsid w:val="00E96E14"/>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PlainTable2">
    <w:name w:val="Plain Table 2"/>
    <w:basedOn w:val="TableNormal"/>
    <w:uiPriority w:val="42"/>
    <w:rsid w:val="00E96E1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1Light-Accent1">
    <w:name w:val="Grid Table 1 Light Accent 1"/>
    <w:basedOn w:val="TableNormal"/>
    <w:uiPriority w:val="46"/>
    <w:rsid w:val="00E96E14"/>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PlainTable4">
    <w:name w:val="Plain Table 4"/>
    <w:basedOn w:val="TableNormal"/>
    <w:uiPriority w:val="44"/>
    <w:rsid w:val="00E96E1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E96E1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ListTable6Colorful-Accent1">
    <w:name w:val="List Table 6 Colorful Accent 1"/>
    <w:basedOn w:val="TableNormal"/>
    <w:uiPriority w:val="51"/>
    <w:rsid w:val="00E96E14"/>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
    <w:name w:val="List Table 1 Light"/>
    <w:basedOn w:val="TableNormal"/>
    <w:uiPriority w:val="46"/>
    <w:rsid w:val="00E96E1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PlainTable5">
    <w:name w:val="Plain Table 5"/>
    <w:basedOn w:val="TableNormal"/>
    <w:uiPriority w:val="45"/>
    <w:rsid w:val="00992518"/>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378895">
      <w:bodyDiv w:val="1"/>
      <w:marLeft w:val="0"/>
      <w:marRight w:val="0"/>
      <w:marTop w:val="0"/>
      <w:marBottom w:val="0"/>
      <w:divBdr>
        <w:top w:val="none" w:sz="0" w:space="0" w:color="auto"/>
        <w:left w:val="none" w:sz="0" w:space="0" w:color="auto"/>
        <w:bottom w:val="none" w:sz="0" w:space="0" w:color="auto"/>
        <w:right w:val="none" w:sz="0" w:space="0" w:color="auto"/>
      </w:divBdr>
    </w:div>
    <w:div w:id="453519076">
      <w:bodyDiv w:val="1"/>
      <w:marLeft w:val="0"/>
      <w:marRight w:val="0"/>
      <w:marTop w:val="0"/>
      <w:marBottom w:val="0"/>
      <w:divBdr>
        <w:top w:val="none" w:sz="0" w:space="0" w:color="auto"/>
        <w:left w:val="none" w:sz="0" w:space="0" w:color="auto"/>
        <w:bottom w:val="none" w:sz="0" w:space="0" w:color="auto"/>
        <w:right w:val="none" w:sz="0" w:space="0" w:color="auto"/>
      </w:divBdr>
    </w:div>
    <w:div w:id="506869706">
      <w:bodyDiv w:val="1"/>
      <w:marLeft w:val="0"/>
      <w:marRight w:val="0"/>
      <w:marTop w:val="0"/>
      <w:marBottom w:val="0"/>
      <w:divBdr>
        <w:top w:val="none" w:sz="0" w:space="0" w:color="auto"/>
        <w:left w:val="none" w:sz="0" w:space="0" w:color="auto"/>
        <w:bottom w:val="none" w:sz="0" w:space="0" w:color="auto"/>
        <w:right w:val="none" w:sz="0" w:space="0" w:color="auto"/>
      </w:divBdr>
    </w:div>
    <w:div w:id="1082991199">
      <w:bodyDiv w:val="1"/>
      <w:marLeft w:val="0"/>
      <w:marRight w:val="0"/>
      <w:marTop w:val="0"/>
      <w:marBottom w:val="0"/>
      <w:divBdr>
        <w:top w:val="none" w:sz="0" w:space="0" w:color="auto"/>
        <w:left w:val="none" w:sz="0" w:space="0" w:color="auto"/>
        <w:bottom w:val="none" w:sz="0" w:space="0" w:color="auto"/>
        <w:right w:val="none" w:sz="0" w:space="0" w:color="auto"/>
      </w:divBdr>
    </w:div>
    <w:div w:id="1530332478">
      <w:bodyDiv w:val="1"/>
      <w:marLeft w:val="0"/>
      <w:marRight w:val="0"/>
      <w:marTop w:val="0"/>
      <w:marBottom w:val="0"/>
      <w:divBdr>
        <w:top w:val="none" w:sz="0" w:space="0" w:color="auto"/>
        <w:left w:val="none" w:sz="0" w:space="0" w:color="auto"/>
        <w:bottom w:val="none" w:sz="0" w:space="0" w:color="auto"/>
        <w:right w:val="none" w:sz="0" w:space="0" w:color="auto"/>
      </w:divBdr>
    </w:div>
    <w:div w:id="1668710336">
      <w:bodyDiv w:val="1"/>
      <w:marLeft w:val="0"/>
      <w:marRight w:val="0"/>
      <w:marTop w:val="0"/>
      <w:marBottom w:val="0"/>
      <w:divBdr>
        <w:top w:val="none" w:sz="0" w:space="0" w:color="auto"/>
        <w:left w:val="none" w:sz="0" w:space="0" w:color="auto"/>
        <w:bottom w:val="none" w:sz="0" w:space="0" w:color="auto"/>
        <w:right w:val="none" w:sz="0" w:space="0" w:color="auto"/>
      </w:divBdr>
    </w:div>
    <w:div w:id="1887140722">
      <w:bodyDiv w:val="1"/>
      <w:marLeft w:val="0"/>
      <w:marRight w:val="0"/>
      <w:marTop w:val="0"/>
      <w:marBottom w:val="0"/>
      <w:divBdr>
        <w:top w:val="none" w:sz="0" w:space="0" w:color="auto"/>
        <w:left w:val="none" w:sz="0" w:space="0" w:color="auto"/>
        <w:bottom w:val="none" w:sz="0" w:space="0" w:color="auto"/>
        <w:right w:val="none" w:sz="0" w:space="0" w:color="auto"/>
      </w:divBdr>
    </w:div>
    <w:div w:id="1894580538">
      <w:bodyDiv w:val="1"/>
      <w:marLeft w:val="0"/>
      <w:marRight w:val="0"/>
      <w:marTop w:val="0"/>
      <w:marBottom w:val="0"/>
      <w:divBdr>
        <w:top w:val="none" w:sz="0" w:space="0" w:color="auto"/>
        <w:left w:val="none" w:sz="0" w:space="0" w:color="auto"/>
        <w:bottom w:val="none" w:sz="0" w:space="0" w:color="auto"/>
        <w:right w:val="none" w:sz="0" w:space="0" w:color="auto"/>
      </w:divBdr>
    </w:div>
    <w:div w:id="1973632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57E39-4109-4DE9-A884-5B9A199DA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17</Pages>
  <Words>5536</Words>
  <Characters>31556</Characters>
  <Application>Microsoft Office Word</Application>
  <DocSecurity>0</DocSecurity>
  <Lines>262</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Korisnik</cp:lastModifiedBy>
  <cp:revision>14</cp:revision>
  <cp:lastPrinted>2022-02-21T13:06:00Z</cp:lastPrinted>
  <dcterms:created xsi:type="dcterms:W3CDTF">2023-02-07T09:35:00Z</dcterms:created>
  <dcterms:modified xsi:type="dcterms:W3CDTF">2023-08-17T12:08:00Z</dcterms:modified>
</cp:coreProperties>
</file>