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9EBEF" w14:textId="77777777" w:rsidR="00196689" w:rsidRPr="00306706" w:rsidRDefault="00196689" w:rsidP="00673F65">
      <w:pPr>
        <w:jc w:val="center"/>
        <w:rPr>
          <w:rFonts w:ascii="Cambria" w:hAnsi="Cambria"/>
          <w:b/>
          <w:noProof/>
          <w:sz w:val="28"/>
          <w:szCs w:val="28"/>
          <w:lang w:val="sr-Cyrl-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7EFB2A8F"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085916">
        <w:rPr>
          <w:rFonts w:ascii="Cambria" w:hAnsi="Cambria"/>
          <w:b/>
          <w:i/>
          <w:iCs/>
          <w:noProof/>
          <w:sz w:val="28"/>
          <w:szCs w:val="28"/>
          <w:lang w:val="sr-Latn-BA"/>
        </w:rPr>
        <w:t>0</w:t>
      </w:r>
      <w:r w:rsidR="0033759C" w:rsidRPr="00A13C71">
        <w:rPr>
          <w:rFonts w:ascii="Cambria" w:hAnsi="Cambria"/>
          <w:b/>
          <w:i/>
          <w:iCs/>
          <w:noProof/>
          <w:sz w:val="28"/>
          <w:szCs w:val="28"/>
          <w:lang w:val="sr-Latn-BA"/>
        </w:rPr>
        <w:t>.</w:t>
      </w:r>
      <w:r w:rsidR="0051300C">
        <w:rPr>
          <w:rFonts w:ascii="Cambria" w:hAnsi="Cambria"/>
          <w:b/>
          <w:i/>
          <w:iCs/>
          <w:noProof/>
          <w:sz w:val="28"/>
          <w:szCs w:val="28"/>
          <w:lang w:val="sr-Latn-BA"/>
        </w:rPr>
        <w:t>0</w:t>
      </w:r>
      <w:r w:rsidR="002A0401">
        <w:rPr>
          <w:rFonts w:ascii="Cambria" w:hAnsi="Cambria"/>
          <w:b/>
          <w:i/>
          <w:iCs/>
          <w:noProof/>
          <w:sz w:val="28"/>
          <w:szCs w:val="28"/>
          <w:lang w:val="sr-Latn-BA"/>
        </w:rPr>
        <w:t>9</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51300C">
        <w:rPr>
          <w:rFonts w:ascii="Cambria" w:hAnsi="Cambria"/>
          <w:b/>
          <w:i/>
          <w:iCs/>
          <w:noProof/>
          <w:sz w:val="28"/>
          <w:szCs w:val="28"/>
          <w:lang w:val="sr-Latn-BA"/>
        </w:rPr>
        <w:t>4</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32584D31" w:rsidR="00F87CF5"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2A0401">
        <w:rPr>
          <w:rFonts w:ascii="Cambria" w:hAnsi="Cambria"/>
          <w:noProof/>
          <w:sz w:val="22"/>
          <w:szCs w:val="22"/>
          <w:lang w:val="sr-Latn-BA"/>
        </w:rPr>
        <w:t>OKTOBAR</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345B0D">
        <w:rPr>
          <w:rFonts w:ascii="Cambria" w:hAnsi="Cambria"/>
          <w:noProof/>
          <w:sz w:val="22"/>
          <w:szCs w:val="22"/>
          <w:lang w:val="sr-Latn-BA"/>
        </w:rPr>
        <w:t>4</w:t>
      </w:r>
      <w:r w:rsidR="00B75BE9" w:rsidRPr="00A13C71">
        <w:rPr>
          <w:rFonts w:ascii="Cambria" w:hAnsi="Cambria"/>
          <w:noProof/>
          <w:sz w:val="22"/>
          <w:szCs w:val="22"/>
          <w:lang w:val="sr-Latn-BA"/>
        </w:rPr>
        <w:t>. godine</w:t>
      </w:r>
    </w:p>
    <w:p w14:paraId="4FEB0ECF" w14:textId="77777777" w:rsidR="00DF7B88" w:rsidRPr="00A13C71" w:rsidRDefault="00DF7B88">
      <w:pPr>
        <w:rPr>
          <w:rFonts w:ascii="Cambria" w:hAnsi="Cambria"/>
          <w:noProof/>
          <w:sz w:val="22"/>
          <w:szCs w:val="22"/>
          <w:lang w:val="sr-Latn-BA"/>
        </w:rPr>
      </w:pP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73CD9893" w14:textId="0FC389CA" w:rsidR="00055F25" w:rsidRPr="00C1662B" w:rsidRDefault="008E2954" w:rsidP="00055F25">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6025E1B9"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085916">
        <w:rPr>
          <w:rFonts w:ascii="Cambria" w:hAnsi="Cambria" w:cs="Tahoma"/>
          <w:noProof/>
          <w:sz w:val="22"/>
          <w:szCs w:val="22"/>
          <w:lang w:val="sr-Latn-BA"/>
        </w:rPr>
        <w:t>0</w:t>
      </w:r>
      <w:r w:rsidRPr="00A13C71">
        <w:rPr>
          <w:rFonts w:ascii="Cambria" w:hAnsi="Cambria" w:cs="Tahoma"/>
          <w:noProof/>
          <w:sz w:val="22"/>
          <w:szCs w:val="22"/>
          <w:lang w:val="sr-Latn-BA"/>
        </w:rPr>
        <w:t>.</w:t>
      </w:r>
      <w:r w:rsidR="0051300C">
        <w:rPr>
          <w:rFonts w:ascii="Cambria" w:hAnsi="Cambria" w:cs="Tahoma"/>
          <w:noProof/>
          <w:sz w:val="22"/>
          <w:szCs w:val="22"/>
          <w:lang w:val="sr-Latn-BA"/>
        </w:rPr>
        <w:t>0</w:t>
      </w:r>
      <w:r w:rsidR="00271EE0">
        <w:rPr>
          <w:rFonts w:ascii="Cambria" w:hAnsi="Cambria" w:cs="Tahoma"/>
          <w:noProof/>
          <w:sz w:val="22"/>
          <w:szCs w:val="22"/>
          <w:lang w:val="sr-Latn-BA"/>
        </w:rPr>
        <w:t>9</w:t>
      </w:r>
      <w:r w:rsidRPr="00A13C71">
        <w:rPr>
          <w:rFonts w:ascii="Cambria" w:hAnsi="Cambria" w:cs="Tahoma"/>
          <w:noProof/>
          <w:sz w:val="22"/>
          <w:szCs w:val="22"/>
          <w:lang w:val="sr-Latn-BA"/>
        </w:rPr>
        <w:t>.202</w:t>
      </w:r>
      <w:bookmarkEnd w:id="0"/>
      <w:r w:rsidR="0051300C">
        <w:rPr>
          <w:rFonts w:ascii="Cambria" w:hAnsi="Cambria" w:cs="Tahoma"/>
          <w:noProof/>
          <w:sz w:val="22"/>
          <w:szCs w:val="22"/>
          <w:lang w:val="sr-Latn-BA"/>
        </w:rPr>
        <w:t>4</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1A84016"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51300C">
        <w:rPr>
          <w:rFonts w:asciiTheme="majorHAnsi" w:hAnsiTheme="majorHAnsi" w:cs="Calibri"/>
          <w:noProof/>
          <w:sz w:val="22"/>
          <w:szCs w:val="22"/>
          <w:lang w:val="sr-Latn-BA"/>
        </w:rPr>
        <w:t>3</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bookmarkEnd w:id="2"/>
    <w:p w14:paraId="4C5428F7" w14:textId="77777777" w:rsidR="00C1662B" w:rsidRDefault="00C1662B" w:rsidP="0033759C">
      <w:pPr>
        <w:rPr>
          <w:rFonts w:ascii="Cambria" w:hAnsi="Cambria"/>
          <w:b/>
          <w:bCs/>
          <w:noProof/>
          <w:sz w:val="22"/>
          <w:szCs w:val="22"/>
          <w:lang w:val="sr-Latn-BA"/>
        </w:rPr>
      </w:pPr>
    </w:p>
    <w:p w14:paraId="70D26303" w14:textId="5B89B0E5"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105190A" w14:textId="07A3EA8D" w:rsidR="00B96F4D" w:rsidRDefault="0033759C" w:rsidP="00DF7B88">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176C6B09" w14:textId="77777777" w:rsidR="00DF7B88" w:rsidRPr="00DF7B88" w:rsidRDefault="00DF7B88" w:rsidP="00DF7B88">
      <w:pPr>
        <w:ind w:firstLine="720"/>
        <w:rPr>
          <w:rFonts w:ascii="Cambria" w:hAnsi="Cambria"/>
          <w:noProof/>
          <w:sz w:val="22"/>
          <w:szCs w:val="22"/>
          <w:lang w:val="sr-Latn-BA"/>
        </w:rPr>
      </w:pPr>
    </w:p>
    <w:p w14:paraId="12F0BF7F" w14:textId="277F7DF9" w:rsidR="00306706" w:rsidRPr="00306706" w:rsidRDefault="00306706" w:rsidP="007A625F">
      <w:pPr>
        <w:pStyle w:val="NoSpacing"/>
        <w:rPr>
          <w:rFonts w:ascii="Cambria" w:hAnsi="Cambria"/>
          <w:b/>
          <w:bCs/>
          <w:noProof/>
          <w:lang w:val="sr-Latn-RS"/>
        </w:rPr>
      </w:pPr>
      <w:r>
        <w:rPr>
          <w:rFonts w:ascii="Cambria" w:hAnsi="Cambria"/>
          <w:b/>
          <w:bCs/>
          <w:noProof/>
          <w:lang w:val="sr-Cyrl-BA"/>
        </w:rPr>
        <w:lastRenderedPageBreak/>
        <w:t xml:space="preserve">4.           </w:t>
      </w:r>
      <w:r>
        <w:rPr>
          <w:rFonts w:ascii="Cambria" w:hAnsi="Cambria"/>
          <w:b/>
          <w:bCs/>
          <w:noProof/>
          <w:lang w:val="sr-Latn-RS"/>
        </w:rPr>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1C1BC313"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306706">
        <w:rPr>
          <w:rFonts w:ascii="Cambria" w:hAnsi="Cambria"/>
          <w:noProof/>
          <w:sz w:val="22"/>
          <w:szCs w:val="22"/>
          <w:lang w:val="sr-Cyrl-BA"/>
        </w:rPr>
        <w:t>0</w:t>
      </w:r>
      <w:r w:rsidR="00C30A32" w:rsidRPr="00A13C71">
        <w:rPr>
          <w:rFonts w:ascii="Cambria" w:hAnsi="Cambria"/>
          <w:noProof/>
          <w:sz w:val="22"/>
          <w:szCs w:val="22"/>
          <w:lang w:val="sr-Latn-BA"/>
        </w:rPr>
        <w:t>.</w:t>
      </w:r>
      <w:r w:rsidR="008B4558">
        <w:rPr>
          <w:rFonts w:ascii="Cambria" w:hAnsi="Cambria"/>
          <w:noProof/>
          <w:sz w:val="22"/>
          <w:szCs w:val="22"/>
          <w:lang w:val="sr-Latn-BA"/>
        </w:rPr>
        <w:t>0</w:t>
      </w:r>
      <w:r w:rsidR="00306706">
        <w:rPr>
          <w:rFonts w:ascii="Cambria" w:hAnsi="Cambria"/>
          <w:noProof/>
          <w:sz w:val="22"/>
          <w:szCs w:val="22"/>
          <w:lang w:val="sr-Cyrl-BA"/>
        </w:rPr>
        <w:t>6</w:t>
      </w:r>
      <w:r w:rsidR="00DE1086" w:rsidRPr="00A13C71">
        <w:rPr>
          <w:rFonts w:ascii="Cambria" w:hAnsi="Cambria"/>
          <w:noProof/>
          <w:sz w:val="22"/>
          <w:szCs w:val="22"/>
          <w:lang w:val="sr-Latn-BA"/>
        </w:rPr>
        <w:t>.202</w:t>
      </w:r>
      <w:r w:rsidR="008B4558">
        <w:rPr>
          <w:rFonts w:ascii="Cambria" w:hAnsi="Cambria"/>
          <w:noProof/>
          <w:sz w:val="22"/>
          <w:szCs w:val="22"/>
          <w:lang w:val="sr-Latn-BA"/>
        </w:rPr>
        <w:t>4</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EC3BB1">
        <w:rPr>
          <w:rFonts w:ascii="Cambria" w:hAnsi="Cambria"/>
          <w:noProof/>
          <w:sz w:val="22"/>
          <w:szCs w:val="22"/>
          <w:shd w:val="clear" w:color="auto" w:fill="FFFFFF" w:themeFill="background1"/>
          <w:lang w:val="sr-Latn-BA"/>
        </w:rPr>
        <w:t>5.843.772,37</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EF3032" w:rsidRDefault="00DE1086" w:rsidP="00BB0293">
      <w:pPr>
        <w:ind w:firstLine="720"/>
        <w:jc w:val="both"/>
        <w:rPr>
          <w:rFonts w:ascii="Cambria" w:hAnsi="Cambria"/>
          <w:noProof/>
          <w:sz w:val="22"/>
          <w:szCs w:val="22"/>
          <w:lang w:val="sr-Latn-BA"/>
        </w:rPr>
      </w:pPr>
      <w:bookmarkStart w:id="17" w:name="_Hlk46490232"/>
      <w:r w:rsidRPr="00EF303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710F1676" w:rsidR="00DE1086" w:rsidRPr="006719F7" w:rsidRDefault="003D1B81" w:rsidP="006719F7">
      <w:pPr>
        <w:jc w:val="both"/>
        <w:rPr>
          <w:rFonts w:ascii="Cambria" w:hAnsi="Cambria" w:cs="Arial"/>
          <w:b/>
          <w:bCs/>
          <w:sz w:val="20"/>
          <w:szCs w:val="20"/>
        </w:rPr>
      </w:pPr>
      <w:r w:rsidRPr="00795711">
        <w:rPr>
          <w:rFonts w:ascii="Cambria" w:hAnsi="Cambria"/>
          <w:noProof/>
          <w:sz w:val="22"/>
          <w:szCs w:val="22"/>
          <w:lang w:val="sr-Latn-BA"/>
        </w:rPr>
        <w:t>Na dan 3</w:t>
      </w:r>
      <w:r w:rsidR="00EC3BB1">
        <w:rPr>
          <w:rFonts w:ascii="Cambria" w:hAnsi="Cambria"/>
          <w:noProof/>
          <w:sz w:val="22"/>
          <w:szCs w:val="22"/>
          <w:lang w:val="sr-Latn-BA"/>
        </w:rPr>
        <w:t>0</w:t>
      </w:r>
      <w:r w:rsidR="00E33580" w:rsidRPr="00795711">
        <w:rPr>
          <w:rFonts w:ascii="Cambria" w:hAnsi="Cambria"/>
          <w:noProof/>
          <w:sz w:val="22"/>
          <w:szCs w:val="22"/>
          <w:lang w:val="sr-Latn-BA"/>
        </w:rPr>
        <w:t>.</w:t>
      </w:r>
      <w:r w:rsidR="008B4558">
        <w:rPr>
          <w:rFonts w:ascii="Cambria" w:hAnsi="Cambria"/>
          <w:noProof/>
          <w:sz w:val="22"/>
          <w:szCs w:val="22"/>
          <w:lang w:val="sr-Latn-BA"/>
        </w:rPr>
        <w:t>0</w:t>
      </w:r>
      <w:r w:rsidR="006719F7">
        <w:rPr>
          <w:rFonts w:ascii="Cambria" w:hAnsi="Cambria"/>
          <w:noProof/>
          <w:sz w:val="22"/>
          <w:szCs w:val="22"/>
          <w:lang w:val="sr-Latn-BA"/>
        </w:rPr>
        <w:t>9</w:t>
      </w:r>
      <w:r w:rsidR="00DE1086" w:rsidRPr="00795711">
        <w:rPr>
          <w:rFonts w:ascii="Cambria" w:hAnsi="Cambria"/>
          <w:noProof/>
          <w:sz w:val="22"/>
          <w:szCs w:val="22"/>
          <w:lang w:val="sr-Latn-BA"/>
        </w:rPr>
        <w:t>.202</w:t>
      </w:r>
      <w:r w:rsidR="008B4558">
        <w:rPr>
          <w:rFonts w:ascii="Cambria" w:hAnsi="Cambria"/>
          <w:noProof/>
          <w:sz w:val="22"/>
          <w:szCs w:val="22"/>
          <w:lang w:val="sr-Latn-BA"/>
        </w:rPr>
        <w:t>4</w:t>
      </w:r>
      <w:r w:rsidR="00DE1086" w:rsidRPr="00795711">
        <w:rPr>
          <w:rFonts w:ascii="Cambria" w:hAnsi="Cambria"/>
          <w:noProof/>
          <w:sz w:val="22"/>
          <w:szCs w:val="22"/>
          <w:lang w:val="sr-Latn-BA"/>
        </w:rPr>
        <w:t>.</w:t>
      </w:r>
      <w:r w:rsidR="008B4558">
        <w:rPr>
          <w:rFonts w:ascii="Cambria" w:hAnsi="Cambria"/>
          <w:noProof/>
          <w:sz w:val="22"/>
          <w:szCs w:val="22"/>
          <w:lang w:val="sr-Latn-BA"/>
        </w:rPr>
        <w:t xml:space="preserve"> </w:t>
      </w:r>
      <w:r w:rsidR="00DE1086" w:rsidRPr="00795711">
        <w:rPr>
          <w:rFonts w:ascii="Cambria" w:hAnsi="Cambria"/>
          <w:noProof/>
          <w:sz w:val="22"/>
          <w:szCs w:val="22"/>
          <w:lang w:val="sr-Latn-BA"/>
        </w:rPr>
        <w:t xml:space="preserve">godine u portfelju Fonda bilo je </w:t>
      </w:r>
      <w:r w:rsidR="00D94D80">
        <w:rPr>
          <w:rFonts w:ascii="Cambria" w:hAnsi="Cambria"/>
          <w:noProof/>
          <w:sz w:val="22"/>
          <w:szCs w:val="22"/>
          <w:lang w:val="sr-Latn-BA"/>
        </w:rPr>
        <w:t>8</w:t>
      </w:r>
      <w:r w:rsidR="00DE1086" w:rsidRPr="00795711">
        <w:rPr>
          <w:rFonts w:ascii="Cambria" w:hAnsi="Cambria"/>
          <w:noProof/>
          <w:sz w:val="22"/>
          <w:szCs w:val="22"/>
          <w:lang w:val="sr-Latn-BA"/>
        </w:rPr>
        <w:t xml:space="preserve"> hov koje su se vrednovale na ovaj način i njihova vrijednost ulaganja iznosi </w:t>
      </w:r>
      <w:r w:rsidR="006719F7" w:rsidRPr="006719F7">
        <w:rPr>
          <w:rFonts w:ascii="Cambria" w:hAnsi="Cambria" w:cs="Arial"/>
          <w:bCs/>
          <w:sz w:val="20"/>
          <w:szCs w:val="20"/>
        </w:rPr>
        <w:t>6,058,809.95</w:t>
      </w:r>
      <w:r w:rsidR="006719F7">
        <w:rPr>
          <w:rFonts w:ascii="Cambria" w:hAnsi="Cambria" w:cs="Arial"/>
          <w:b/>
          <w:bCs/>
          <w:sz w:val="20"/>
          <w:szCs w:val="20"/>
        </w:rPr>
        <w:t xml:space="preserve"> </w:t>
      </w:r>
      <w:r w:rsidR="00DE1086" w:rsidRPr="00795711">
        <w:rPr>
          <w:rFonts w:ascii="Cambria" w:hAnsi="Cambria"/>
          <w:noProof/>
          <w:sz w:val="22"/>
          <w:szCs w:val="22"/>
          <w:lang w:val="sr-Latn-BA"/>
        </w:rPr>
        <w:t>KM.</w:t>
      </w:r>
    </w:p>
    <w:p w14:paraId="13690E45" w14:textId="5F05FA83" w:rsidR="00DE1086" w:rsidRPr="00795711" w:rsidRDefault="00DE1086" w:rsidP="00BB0293">
      <w:pPr>
        <w:ind w:firstLine="720"/>
        <w:jc w:val="both"/>
        <w:rPr>
          <w:rFonts w:ascii="Cambria" w:hAnsi="Cambria"/>
          <w:noProof/>
          <w:sz w:val="22"/>
          <w:szCs w:val="22"/>
          <w:lang w:val="sr-Latn-BA"/>
        </w:rPr>
      </w:pPr>
      <w:r w:rsidRPr="00795711">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795711">
        <w:rPr>
          <w:rFonts w:ascii="Cambria" w:hAnsi="Cambria"/>
          <w:noProof/>
          <w:sz w:val="22"/>
          <w:szCs w:val="22"/>
          <w:lang w:val="sr-Latn-BA"/>
        </w:rPr>
        <w:t xml:space="preserve"> </w:t>
      </w:r>
      <w:r w:rsidR="00F06169" w:rsidRPr="00795711">
        <w:rPr>
          <w:rFonts w:ascii="Cambria" w:hAnsi="Cambria"/>
          <w:noProof/>
          <w:sz w:val="22"/>
          <w:szCs w:val="22"/>
          <w:lang w:val="sr-Latn-BA"/>
        </w:rPr>
        <w:t xml:space="preserve">U ovom slučaju imamo </w:t>
      </w:r>
      <w:r w:rsidR="00850B24">
        <w:rPr>
          <w:rFonts w:ascii="Cambria" w:hAnsi="Cambria"/>
          <w:noProof/>
          <w:sz w:val="22"/>
          <w:szCs w:val="22"/>
          <w:lang w:val="sr-Latn-BA"/>
        </w:rPr>
        <w:t>6</w:t>
      </w:r>
      <w:r w:rsidRPr="00795711">
        <w:rPr>
          <w:rFonts w:ascii="Cambria" w:hAnsi="Cambria"/>
          <w:noProof/>
          <w:sz w:val="22"/>
          <w:szCs w:val="22"/>
          <w:lang w:val="sr-Latn-BA"/>
        </w:rPr>
        <w:t xml:space="preserve"> </w:t>
      </w:r>
      <w:r w:rsidR="00850B24">
        <w:rPr>
          <w:rFonts w:ascii="Cambria" w:hAnsi="Cambria"/>
          <w:noProof/>
          <w:sz w:val="22"/>
          <w:szCs w:val="22"/>
          <w:lang w:val="sr-Latn-BA"/>
        </w:rPr>
        <w:t>HOV</w:t>
      </w:r>
      <w:r w:rsidRPr="00795711">
        <w:rPr>
          <w:rFonts w:ascii="Cambria" w:hAnsi="Cambria"/>
          <w:noProof/>
          <w:sz w:val="22"/>
          <w:szCs w:val="22"/>
          <w:lang w:val="sr-Latn-BA"/>
        </w:rPr>
        <w:t xml:space="preserve"> koje su se vrednovale po tržišnoj cijeni</w:t>
      </w:r>
      <w:r w:rsidR="00BE1D3C" w:rsidRPr="00795711">
        <w:rPr>
          <w:rFonts w:ascii="Cambria" w:hAnsi="Cambria"/>
          <w:noProof/>
          <w:sz w:val="22"/>
          <w:szCs w:val="22"/>
          <w:lang w:val="sr-Latn-BA"/>
        </w:rPr>
        <w:t xml:space="preserve"> i </w:t>
      </w:r>
      <w:r w:rsidR="00EC3BB1">
        <w:rPr>
          <w:rFonts w:ascii="Cambria" w:hAnsi="Cambria"/>
          <w:noProof/>
          <w:sz w:val="22"/>
          <w:szCs w:val="22"/>
          <w:lang w:val="sr-Latn-BA"/>
        </w:rPr>
        <w:t>1</w:t>
      </w:r>
      <w:r w:rsidR="00850B24">
        <w:rPr>
          <w:rFonts w:ascii="Cambria" w:hAnsi="Cambria"/>
          <w:noProof/>
          <w:sz w:val="22"/>
          <w:szCs w:val="22"/>
          <w:lang w:val="sr-Latn-BA"/>
        </w:rPr>
        <w:t>5</w:t>
      </w:r>
      <w:r w:rsidRPr="00795711">
        <w:rPr>
          <w:rFonts w:ascii="Cambria" w:hAnsi="Cambria"/>
          <w:noProof/>
          <w:sz w:val="22"/>
          <w:szCs w:val="22"/>
          <w:lang w:val="sr-Latn-BA"/>
        </w:rPr>
        <w:t xml:space="preserve"> </w:t>
      </w:r>
      <w:r w:rsidR="00850B24">
        <w:rPr>
          <w:rFonts w:ascii="Cambria" w:hAnsi="Cambria"/>
          <w:noProof/>
          <w:sz w:val="22"/>
          <w:szCs w:val="22"/>
          <w:lang w:val="sr-Latn-BA"/>
        </w:rPr>
        <w:t>HOV</w:t>
      </w:r>
      <w:r w:rsidRPr="00795711">
        <w:rPr>
          <w:rFonts w:ascii="Cambria" w:hAnsi="Cambria"/>
          <w:noProof/>
          <w:sz w:val="22"/>
          <w:szCs w:val="22"/>
          <w:lang w:val="sr-Latn-BA"/>
        </w:rPr>
        <w:t xml:space="preserve"> po procijenjenoj. Vrijednost ulaganja tih </w:t>
      </w:r>
      <w:r w:rsidR="00850B24">
        <w:rPr>
          <w:rFonts w:ascii="Cambria" w:hAnsi="Cambria"/>
          <w:noProof/>
          <w:sz w:val="22"/>
          <w:szCs w:val="22"/>
          <w:lang w:val="sr-Latn-BA"/>
        </w:rPr>
        <w:t>HOV</w:t>
      </w:r>
      <w:r w:rsidRPr="00795711">
        <w:rPr>
          <w:rFonts w:ascii="Cambria" w:hAnsi="Cambria"/>
          <w:noProof/>
          <w:sz w:val="22"/>
          <w:szCs w:val="22"/>
          <w:lang w:val="sr-Latn-BA"/>
        </w:rPr>
        <w:t xml:space="preserve"> iznosi </w:t>
      </w:r>
      <w:r w:rsidR="007F34CE" w:rsidRPr="00B51294">
        <w:rPr>
          <w:rFonts w:ascii="Cambria" w:hAnsi="Cambria"/>
          <w:noProof/>
          <w:sz w:val="22"/>
          <w:szCs w:val="22"/>
          <w:lang w:val="sr-Latn-BA"/>
        </w:rPr>
        <w:t>5</w:t>
      </w:r>
      <w:r w:rsidR="00EC3BB1" w:rsidRPr="00B51294">
        <w:rPr>
          <w:rFonts w:ascii="Cambria" w:hAnsi="Cambria"/>
          <w:noProof/>
          <w:sz w:val="22"/>
          <w:szCs w:val="22"/>
          <w:lang w:val="sr-Latn-BA"/>
        </w:rPr>
        <w:t>06</w:t>
      </w:r>
      <w:r w:rsidR="007F34CE" w:rsidRPr="00B51294">
        <w:rPr>
          <w:rFonts w:ascii="Cambria" w:hAnsi="Cambria"/>
          <w:noProof/>
          <w:sz w:val="22"/>
          <w:szCs w:val="22"/>
          <w:lang w:val="sr-Latn-BA"/>
        </w:rPr>
        <w:t>.</w:t>
      </w:r>
      <w:r w:rsidR="00EC3BB1" w:rsidRPr="00B51294">
        <w:rPr>
          <w:rFonts w:ascii="Cambria" w:hAnsi="Cambria"/>
          <w:noProof/>
          <w:sz w:val="22"/>
          <w:szCs w:val="22"/>
          <w:lang w:val="sr-Latn-BA"/>
        </w:rPr>
        <w:t>812</w:t>
      </w:r>
      <w:r w:rsidR="007F34CE" w:rsidRPr="00B51294">
        <w:rPr>
          <w:rFonts w:ascii="Cambria" w:hAnsi="Cambria"/>
          <w:noProof/>
          <w:sz w:val="22"/>
          <w:szCs w:val="22"/>
          <w:lang w:val="sr-Latn-BA"/>
        </w:rPr>
        <w:t>,0</w:t>
      </w:r>
      <w:r w:rsidR="00EC3BB1" w:rsidRPr="00B51294">
        <w:rPr>
          <w:rFonts w:ascii="Cambria" w:hAnsi="Cambria"/>
          <w:noProof/>
          <w:sz w:val="22"/>
          <w:szCs w:val="22"/>
          <w:lang w:val="sr-Latn-BA"/>
        </w:rPr>
        <w:t>8</w:t>
      </w:r>
      <w:r w:rsidR="005634EC" w:rsidRPr="00795711">
        <w:rPr>
          <w:rFonts w:ascii="Cambria" w:hAnsi="Cambria"/>
          <w:noProof/>
          <w:sz w:val="22"/>
          <w:szCs w:val="22"/>
          <w:lang w:val="sr-Latn-BA"/>
        </w:rPr>
        <w:t xml:space="preserve"> </w:t>
      </w:r>
      <w:r w:rsidRPr="00795711">
        <w:rPr>
          <w:rFonts w:ascii="Cambria" w:hAnsi="Cambria"/>
          <w:noProof/>
          <w:sz w:val="22"/>
          <w:szCs w:val="22"/>
          <w:lang w:val="sr-Latn-BA"/>
        </w:rPr>
        <w:t>KM.</w:t>
      </w:r>
    </w:p>
    <w:p w14:paraId="40551C92" w14:textId="4DF9272F" w:rsidR="00DE1086" w:rsidRPr="00795711" w:rsidRDefault="00F06169" w:rsidP="00BB0293">
      <w:pPr>
        <w:ind w:firstLine="720"/>
        <w:jc w:val="both"/>
        <w:rPr>
          <w:rFonts w:ascii="Cambria" w:hAnsi="Cambria"/>
          <w:noProof/>
          <w:sz w:val="22"/>
          <w:szCs w:val="22"/>
          <w:lang w:val="sr-Latn-BA"/>
        </w:rPr>
      </w:pPr>
      <w:r w:rsidRPr="00795711">
        <w:rPr>
          <w:rFonts w:ascii="Cambria" w:hAnsi="Cambria"/>
          <w:noProof/>
          <w:sz w:val="22"/>
          <w:szCs w:val="22"/>
          <w:lang w:val="sr-Latn-BA"/>
        </w:rPr>
        <w:t>U portfelju Fonda nalazi se 1</w:t>
      </w:r>
      <w:r w:rsidR="007F34CE">
        <w:rPr>
          <w:rFonts w:ascii="Cambria" w:hAnsi="Cambria"/>
          <w:noProof/>
          <w:sz w:val="22"/>
          <w:szCs w:val="22"/>
          <w:lang w:val="sr-Latn-BA"/>
        </w:rPr>
        <w:t>3</w:t>
      </w:r>
      <w:r w:rsidR="00DE1086" w:rsidRPr="00795711">
        <w:rPr>
          <w:rFonts w:ascii="Cambria" w:hAnsi="Cambria"/>
          <w:noProof/>
          <w:sz w:val="22"/>
          <w:szCs w:val="22"/>
          <w:lang w:val="sr-Latn-BA"/>
        </w:rPr>
        <w:t xml:space="preserve"> </w:t>
      </w:r>
      <w:r w:rsidR="00850B24">
        <w:rPr>
          <w:rFonts w:ascii="Cambria" w:hAnsi="Cambria"/>
          <w:noProof/>
          <w:sz w:val="22"/>
          <w:szCs w:val="22"/>
          <w:lang w:val="sr-Latn-BA"/>
        </w:rPr>
        <w:t>HOV</w:t>
      </w:r>
      <w:r w:rsidR="00DE1086" w:rsidRPr="00795711">
        <w:rPr>
          <w:rFonts w:ascii="Cambria" w:hAnsi="Cambria"/>
          <w:noProof/>
          <w:sz w:val="22"/>
          <w:szCs w:val="22"/>
          <w:lang w:val="sr-Latn-BA"/>
        </w:rPr>
        <w:t xml:space="preserve">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795711">
        <w:rPr>
          <w:rFonts w:ascii="Cambria" w:hAnsi="Cambria"/>
          <w:noProof/>
          <w:sz w:val="22"/>
          <w:szCs w:val="22"/>
          <w:lang w:val="sr-Latn-BA"/>
        </w:rPr>
        <w:t xml:space="preserve">            Na dan bilansiranja akcije su vrednovan</w:t>
      </w:r>
      <w:r w:rsidR="00A13C71" w:rsidRPr="00795711">
        <w:rPr>
          <w:rFonts w:ascii="Cambria" w:hAnsi="Cambria"/>
          <w:noProof/>
          <w:sz w:val="22"/>
          <w:szCs w:val="22"/>
          <w:lang w:val="sr-Latn-BA"/>
        </w:rPr>
        <w:t>e</w:t>
      </w:r>
      <w:r w:rsidRPr="0079571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79571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6748318B" w:rsidR="0033759C" w:rsidRPr="003A36A8" w:rsidRDefault="002376FB" w:rsidP="002376FB">
      <w:pPr>
        <w:jc w:val="both"/>
        <w:rPr>
          <w:rFonts w:ascii="Cambria" w:hAnsi="Cambria" w:cs="Arial"/>
          <w:b/>
          <w:bCs/>
          <w:sz w:val="20"/>
          <w:szCs w:val="20"/>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3A36A8" w:rsidRPr="003A36A8">
        <w:rPr>
          <w:rFonts w:ascii="Cambria" w:hAnsi="Cambria" w:cs="Arial"/>
          <w:bCs/>
          <w:sz w:val="20"/>
          <w:szCs w:val="20"/>
        </w:rPr>
        <w:t>504,778.46</w:t>
      </w:r>
      <w:r w:rsidR="00DE1086" w:rsidRPr="003A36A8">
        <w:rPr>
          <w:rFonts w:ascii="Cambria" w:hAnsi="Cambria"/>
          <w:noProof/>
          <w:sz w:val="22"/>
          <w:szCs w:val="22"/>
          <w:lang w:val="sr-Latn-BA"/>
        </w:rPr>
        <w:t>KM</w:t>
      </w:r>
      <w:r w:rsidR="00DE1086" w:rsidRPr="00A13C71">
        <w:rPr>
          <w:rFonts w:ascii="Cambria" w:hAnsi="Cambria"/>
          <w:noProof/>
          <w:sz w:val="22"/>
          <w:szCs w:val="22"/>
          <w:lang w:val="sr-Latn-BA"/>
        </w:rPr>
        <w:t>.</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43642EDF" w14:textId="343EF7BC" w:rsidR="007F34CE" w:rsidRPr="00F043D9" w:rsidRDefault="00F043D9" w:rsidP="00EC3BB1">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730ADA">
        <w:rPr>
          <w:rFonts w:ascii="Cambria" w:hAnsi="Cambria"/>
          <w:noProof/>
          <w:sz w:val="22"/>
          <w:szCs w:val="22"/>
          <w:lang w:val="sr-Latn-BA"/>
        </w:rPr>
        <w:t>26,60</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60DC0D62" w14:textId="65332197"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w:t>
      </w:r>
      <w:r w:rsidR="00730ADA">
        <w:rPr>
          <w:rFonts w:ascii="Cambria" w:hAnsi="Cambria"/>
          <w:noProof/>
          <w:sz w:val="22"/>
          <w:szCs w:val="22"/>
          <w:lang w:val="sr-Latn-BA"/>
        </w:rPr>
        <w:t>26,60</w:t>
      </w:r>
      <w:r w:rsidR="00C80B3C" w:rsidRPr="00F043D9">
        <w:rPr>
          <w:rFonts w:ascii="Cambria" w:hAnsi="Cambria"/>
          <w:noProof/>
          <w:sz w:val="22"/>
          <w:szCs w:val="22"/>
          <w:lang w:val="sr-Latn-BA"/>
        </w:rPr>
        <w:t xml:space="preserve"> </w:t>
      </w:r>
      <w:r w:rsidRPr="00F043D9">
        <w:rPr>
          <w:rFonts w:ascii="Cambria" w:hAnsi="Cambria"/>
          <w:noProof/>
          <w:sz w:val="22"/>
          <w:szCs w:val="22"/>
          <w:lang w:val="sr-Latn-BA"/>
        </w:rPr>
        <w:t>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1E39321C" w:rsidR="00FF6719" w:rsidRPr="002837DA" w:rsidRDefault="00FF6719" w:rsidP="002837DA">
      <w:pPr>
        <w:jc w:val="both"/>
        <w:rPr>
          <w:rFonts w:ascii="Cambria" w:hAnsi="Cambria" w:cs="Arial"/>
          <w:sz w:val="20"/>
          <w:szCs w:val="20"/>
        </w:rPr>
      </w:pPr>
      <w:r w:rsidRPr="00A13C71">
        <w:rPr>
          <w:rFonts w:ascii="Cambria" w:hAnsi="Cambria"/>
          <w:noProof/>
          <w:sz w:val="22"/>
          <w:szCs w:val="22"/>
          <w:lang w:val="sr-Latn-BA"/>
        </w:rPr>
        <w:t xml:space="preserve">Obaveze u iznosu </w:t>
      </w:r>
      <w:r w:rsidR="002837DA">
        <w:rPr>
          <w:rFonts w:ascii="Cambria" w:hAnsi="Cambria" w:cs="Arial"/>
          <w:sz w:val="20"/>
          <w:szCs w:val="20"/>
        </w:rPr>
        <w:t xml:space="preserve">18,157.61 </w:t>
      </w:r>
      <w:r w:rsidRPr="00A13C71">
        <w:rPr>
          <w:rFonts w:ascii="Cambria" w:hAnsi="Cambria"/>
          <w:noProof/>
          <w:sz w:val="22"/>
          <w:szCs w:val="22"/>
          <w:lang w:val="sr-Latn-BA"/>
        </w:rPr>
        <w:t>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21412D27" w:rsidR="0033759C" w:rsidRPr="00A13C71" w:rsidRDefault="002837DA"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18.157,61</w:t>
      </w:r>
      <w:r w:rsidR="00F03ECD" w:rsidRPr="00A13C71">
        <w:rPr>
          <w:rFonts w:ascii="Cambria" w:hAnsi="Cambria"/>
          <w:noProof/>
          <w:sz w:val="22"/>
          <w:szCs w:val="22"/>
          <w:lang w:val="sr-Latn-BA"/>
        </w:rPr>
        <w:t xml:space="preserve"> </w:t>
      </w:r>
      <w:r w:rsidR="00D2533B" w:rsidRPr="00A13C71">
        <w:rPr>
          <w:rFonts w:ascii="Cambria" w:hAnsi="Cambria"/>
          <w:noProof/>
          <w:sz w:val="22"/>
          <w:szCs w:val="22"/>
          <w:lang w:val="sr-Latn-BA"/>
        </w:rPr>
        <w:t>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Pr>
          <w:rFonts w:ascii="Cambria" w:hAnsi="Cambria"/>
          <w:noProof/>
          <w:sz w:val="22"/>
          <w:szCs w:val="22"/>
          <w:lang w:val="sr-Latn-BA"/>
        </w:rPr>
        <w:t xml:space="preserve"> </w:t>
      </w:r>
      <w:r w:rsidR="00D9524C">
        <w:rPr>
          <w:rFonts w:ascii="Cambria" w:hAnsi="Cambria"/>
          <w:noProof/>
          <w:sz w:val="22"/>
          <w:szCs w:val="22"/>
          <w:lang w:val="sr-Latn-BA"/>
        </w:rPr>
        <w:t>septembar</w:t>
      </w:r>
      <w:r w:rsidR="00EC3BB1">
        <w:rPr>
          <w:rFonts w:ascii="Cambria" w:hAnsi="Cambria"/>
          <w:noProof/>
          <w:sz w:val="22"/>
          <w:szCs w:val="22"/>
          <w:lang w:val="sr-Latn-BA"/>
        </w:rPr>
        <w:t xml:space="preserve"> </w:t>
      </w:r>
      <w:r w:rsidR="0033759C" w:rsidRPr="00A13C71">
        <w:rPr>
          <w:rFonts w:ascii="Cambria" w:hAnsi="Cambria"/>
          <w:noProof/>
          <w:sz w:val="22"/>
          <w:szCs w:val="22"/>
          <w:lang w:val="sr-Latn-BA"/>
        </w:rPr>
        <w:t>20</w:t>
      </w:r>
      <w:r w:rsidR="00FF6719" w:rsidRPr="00A13C71">
        <w:rPr>
          <w:rFonts w:ascii="Cambria" w:hAnsi="Cambria"/>
          <w:noProof/>
          <w:sz w:val="22"/>
          <w:szCs w:val="22"/>
          <w:lang w:val="sr-Latn-BA"/>
        </w:rPr>
        <w:t>2</w:t>
      </w:r>
      <w:r w:rsidR="00850B24">
        <w:rPr>
          <w:rFonts w:ascii="Cambria" w:hAnsi="Cambria"/>
          <w:noProof/>
          <w:sz w:val="22"/>
          <w:szCs w:val="22"/>
          <w:lang w:val="sr-Latn-BA"/>
        </w:rPr>
        <w:t>4</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34AEC978" w:rsidR="00D2533B" w:rsidRDefault="00D9524C"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204,03</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lastRenderedPageBreak/>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53109EAF" w:rsidR="002F2FD3" w:rsidRPr="00B4735A" w:rsidRDefault="002F2FD3" w:rsidP="00B4735A">
      <w:pPr>
        <w:jc w:val="both"/>
        <w:rPr>
          <w:rFonts w:ascii="Cambria" w:hAnsi="Cambria" w:cs="Arial"/>
          <w:b/>
          <w:bCs/>
          <w:sz w:val="20"/>
          <w:szCs w:val="20"/>
        </w:rPr>
      </w:pPr>
      <w:r w:rsidRPr="006424B3">
        <w:rPr>
          <w:rFonts w:ascii="Cambria" w:hAnsi="Cambria"/>
          <w:noProof/>
          <w:sz w:val="22"/>
          <w:szCs w:val="22"/>
          <w:lang w:val="sr-Latn-BA"/>
        </w:rPr>
        <w:t>Osnovni kapital- udjeli fonda na dan bilansa 3</w:t>
      </w:r>
      <w:r w:rsidR="00EC3BB1">
        <w:rPr>
          <w:rFonts w:ascii="Cambria" w:hAnsi="Cambria"/>
          <w:noProof/>
          <w:sz w:val="22"/>
          <w:szCs w:val="22"/>
          <w:lang w:val="sr-Latn-BA"/>
        </w:rPr>
        <w:t>0</w:t>
      </w:r>
      <w:r w:rsidRPr="006424B3">
        <w:rPr>
          <w:rFonts w:ascii="Cambria" w:hAnsi="Cambria"/>
          <w:noProof/>
          <w:sz w:val="22"/>
          <w:szCs w:val="22"/>
          <w:lang w:val="sr-Latn-BA"/>
        </w:rPr>
        <w:t>.</w:t>
      </w:r>
      <w:r w:rsidR="007F34CE">
        <w:rPr>
          <w:rFonts w:ascii="Cambria" w:hAnsi="Cambria"/>
          <w:noProof/>
          <w:sz w:val="22"/>
          <w:szCs w:val="22"/>
          <w:lang w:val="sr-Latn-BA"/>
        </w:rPr>
        <w:t>0</w:t>
      </w:r>
      <w:r w:rsidR="00B4735A">
        <w:rPr>
          <w:rFonts w:ascii="Cambria" w:hAnsi="Cambria"/>
          <w:noProof/>
          <w:sz w:val="22"/>
          <w:szCs w:val="22"/>
          <w:lang w:val="sr-Latn-BA"/>
        </w:rPr>
        <w:t>9</w:t>
      </w:r>
      <w:r w:rsidRPr="006424B3">
        <w:rPr>
          <w:rFonts w:ascii="Cambria" w:hAnsi="Cambria"/>
          <w:noProof/>
          <w:sz w:val="22"/>
          <w:szCs w:val="22"/>
          <w:lang w:val="sr-Latn-BA"/>
        </w:rPr>
        <w:t>.202</w:t>
      </w:r>
      <w:r w:rsidR="007F34CE">
        <w:rPr>
          <w:rFonts w:ascii="Cambria" w:hAnsi="Cambria"/>
          <w:noProof/>
          <w:sz w:val="22"/>
          <w:szCs w:val="22"/>
          <w:lang w:val="sr-Latn-BA"/>
        </w:rPr>
        <w:t>4</w:t>
      </w:r>
      <w:r w:rsidRPr="006424B3">
        <w:rPr>
          <w:rFonts w:ascii="Cambria" w:hAnsi="Cambria"/>
          <w:noProof/>
          <w:sz w:val="22"/>
          <w:szCs w:val="22"/>
          <w:lang w:val="sr-Latn-BA"/>
        </w:rPr>
        <w:t xml:space="preserve">. godine iznosi </w:t>
      </w:r>
      <w:r w:rsidR="00B4735A" w:rsidRPr="00B4735A">
        <w:rPr>
          <w:rFonts w:ascii="Cambria" w:hAnsi="Cambria" w:cs="Arial"/>
          <w:bCs/>
          <w:sz w:val="20"/>
          <w:szCs w:val="20"/>
        </w:rPr>
        <w:t>6,058,809.95</w:t>
      </w:r>
      <w:r w:rsidR="00B4735A">
        <w:rPr>
          <w:rFonts w:ascii="Cambria" w:hAnsi="Cambria" w:cs="Arial"/>
          <w:b/>
          <w:bCs/>
          <w:sz w:val="20"/>
          <w:szCs w:val="20"/>
        </w:rPr>
        <w:t xml:space="preserve"> </w:t>
      </w:r>
      <w:r w:rsidRPr="006424B3">
        <w:rPr>
          <w:rFonts w:ascii="Cambria" w:hAnsi="Cambria"/>
          <w:noProof/>
          <w:sz w:val="22"/>
          <w:szCs w:val="22"/>
          <w:lang w:val="sr-Latn-BA"/>
        </w:rPr>
        <w:t>KM.</w:t>
      </w:r>
    </w:p>
    <w:p w14:paraId="6BDC2843" w14:textId="5B94287B" w:rsidR="00441718" w:rsidRPr="0053697C" w:rsidRDefault="00FB2CF9" w:rsidP="0053697C">
      <w:pPr>
        <w:jc w:val="both"/>
        <w:rPr>
          <w:rFonts w:ascii="Cambria" w:hAnsi="Cambria" w:cs="Arial"/>
          <w:b/>
          <w:bCs/>
          <w:sz w:val="20"/>
          <w:szCs w:val="20"/>
        </w:rPr>
      </w:pPr>
      <w:bookmarkStart w:id="21" w:name="_Hlk108087988"/>
      <w:r w:rsidRPr="00FB2CF9">
        <w:rPr>
          <w:rFonts w:ascii="Cambria" w:hAnsi="Cambria"/>
          <w:noProof/>
          <w:sz w:val="22"/>
          <w:szCs w:val="22"/>
          <w:lang w:val="sr-Latn-BA"/>
        </w:rPr>
        <w:t>U periodu od 01.01.202</w:t>
      </w:r>
      <w:r w:rsidR="007F34CE">
        <w:rPr>
          <w:rFonts w:ascii="Cambria" w:hAnsi="Cambria"/>
          <w:noProof/>
          <w:sz w:val="22"/>
          <w:szCs w:val="22"/>
          <w:lang w:val="sr-Latn-BA"/>
        </w:rPr>
        <w:t>4</w:t>
      </w:r>
      <w:r w:rsidRPr="00FB2CF9">
        <w:rPr>
          <w:rFonts w:ascii="Cambria" w:hAnsi="Cambria"/>
          <w:noProof/>
          <w:sz w:val="22"/>
          <w:szCs w:val="22"/>
          <w:lang w:val="sr-Latn-BA"/>
        </w:rPr>
        <w:t>. godine do 3</w:t>
      </w:r>
      <w:r w:rsidR="00EC3BB1">
        <w:rPr>
          <w:rFonts w:ascii="Cambria" w:hAnsi="Cambria"/>
          <w:noProof/>
          <w:sz w:val="22"/>
          <w:szCs w:val="22"/>
          <w:lang w:val="sr-Latn-BA"/>
        </w:rPr>
        <w:t>0</w:t>
      </w:r>
      <w:r w:rsidRPr="00FB2CF9">
        <w:rPr>
          <w:rFonts w:ascii="Cambria" w:hAnsi="Cambria"/>
          <w:noProof/>
          <w:sz w:val="22"/>
          <w:szCs w:val="22"/>
          <w:lang w:val="sr-Latn-BA"/>
        </w:rPr>
        <w:t>.</w:t>
      </w:r>
      <w:r w:rsidR="007F34CE">
        <w:rPr>
          <w:rFonts w:ascii="Cambria" w:hAnsi="Cambria"/>
          <w:noProof/>
          <w:sz w:val="22"/>
          <w:szCs w:val="22"/>
          <w:lang w:val="sr-Latn-BA"/>
        </w:rPr>
        <w:t>0</w:t>
      </w:r>
      <w:r w:rsidR="00B4735A">
        <w:rPr>
          <w:rFonts w:ascii="Cambria" w:hAnsi="Cambria"/>
          <w:noProof/>
          <w:sz w:val="22"/>
          <w:szCs w:val="22"/>
          <w:lang w:val="sr-Latn-BA"/>
        </w:rPr>
        <w:t>9</w:t>
      </w:r>
      <w:r w:rsidRPr="00FB2CF9">
        <w:rPr>
          <w:rFonts w:ascii="Cambria" w:hAnsi="Cambria"/>
          <w:noProof/>
          <w:sz w:val="22"/>
          <w:szCs w:val="22"/>
          <w:lang w:val="sr-Latn-BA"/>
        </w:rPr>
        <w:t>.202</w:t>
      </w:r>
      <w:r w:rsidR="007F34CE">
        <w:rPr>
          <w:rFonts w:ascii="Cambria" w:hAnsi="Cambria"/>
          <w:noProof/>
          <w:sz w:val="22"/>
          <w:szCs w:val="22"/>
          <w:lang w:val="sr-Latn-BA"/>
        </w:rPr>
        <w:t>4</w:t>
      </w:r>
      <w:r w:rsidRPr="00FB2CF9">
        <w:rPr>
          <w:rFonts w:ascii="Cambria" w:hAnsi="Cambria"/>
          <w:noProof/>
          <w:sz w:val="22"/>
          <w:szCs w:val="22"/>
          <w:lang w:val="sr-Latn-BA"/>
        </w:rPr>
        <w:t xml:space="preserve">. godine </w:t>
      </w:r>
      <w:r w:rsidR="00EC3BB1">
        <w:rPr>
          <w:rFonts w:ascii="Cambria" w:hAnsi="Cambria"/>
          <w:noProof/>
          <w:sz w:val="22"/>
          <w:szCs w:val="22"/>
          <w:lang w:val="sr-Latn-BA"/>
        </w:rPr>
        <w:t>20</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841E6B">
        <w:rPr>
          <w:rFonts w:ascii="Cambria" w:hAnsi="Cambria"/>
          <w:noProof/>
          <w:sz w:val="22"/>
          <w:szCs w:val="22"/>
          <w:lang w:val="sr-Latn-BA"/>
        </w:rPr>
        <w:t>6.528</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53697C">
        <w:rPr>
          <w:rFonts w:ascii="Cambria" w:hAnsi="Cambria"/>
          <w:noProof/>
          <w:sz w:val="22"/>
          <w:szCs w:val="22"/>
          <w:lang w:val="sr-Latn-BA"/>
        </w:rPr>
        <w:t>719.957</w:t>
      </w:r>
      <w:r w:rsidR="004F2F31" w:rsidRPr="00A13C71">
        <w:rPr>
          <w:rFonts w:ascii="Cambria" w:hAnsi="Cambria"/>
          <w:noProof/>
          <w:sz w:val="22"/>
          <w:szCs w:val="22"/>
          <w:lang w:val="sr-Latn-BA"/>
        </w:rPr>
        <w:t xml:space="preserve"> Vr</w:t>
      </w:r>
      <w:r w:rsidR="0089336B" w:rsidRPr="00A13C71">
        <w:rPr>
          <w:rFonts w:ascii="Cambria" w:hAnsi="Cambria"/>
          <w:noProof/>
          <w:sz w:val="22"/>
          <w:szCs w:val="22"/>
          <w:lang w:val="sr-Latn-BA"/>
        </w:rPr>
        <w:t>ijednost jednog udjela na dan 3</w:t>
      </w:r>
      <w:r w:rsidR="00EC3BB1">
        <w:rPr>
          <w:rFonts w:ascii="Cambria" w:hAnsi="Cambria"/>
          <w:noProof/>
          <w:sz w:val="22"/>
          <w:szCs w:val="22"/>
          <w:lang w:val="sr-Latn-BA"/>
        </w:rPr>
        <w:t>0</w:t>
      </w:r>
      <w:r w:rsidR="004F2F31" w:rsidRPr="00A13C71">
        <w:rPr>
          <w:rFonts w:ascii="Cambria" w:hAnsi="Cambria"/>
          <w:noProof/>
          <w:sz w:val="22"/>
          <w:szCs w:val="22"/>
          <w:lang w:val="sr-Latn-BA"/>
        </w:rPr>
        <w:t>.</w:t>
      </w:r>
      <w:r w:rsidR="007F34CE">
        <w:rPr>
          <w:rFonts w:ascii="Cambria" w:hAnsi="Cambria"/>
          <w:noProof/>
          <w:sz w:val="22"/>
          <w:szCs w:val="22"/>
          <w:lang w:val="sr-Latn-BA"/>
        </w:rPr>
        <w:t>0</w:t>
      </w:r>
      <w:r w:rsidR="0053697C">
        <w:rPr>
          <w:rFonts w:ascii="Cambria" w:hAnsi="Cambria"/>
          <w:noProof/>
          <w:sz w:val="22"/>
          <w:szCs w:val="22"/>
          <w:lang w:val="sr-Latn-BA"/>
        </w:rPr>
        <w:t>9</w:t>
      </w:r>
      <w:r w:rsidR="004F2F31" w:rsidRPr="00A13C71">
        <w:rPr>
          <w:rFonts w:ascii="Cambria" w:hAnsi="Cambria"/>
          <w:noProof/>
          <w:sz w:val="22"/>
          <w:szCs w:val="22"/>
          <w:lang w:val="sr-Latn-BA"/>
        </w:rPr>
        <w:t>.202</w:t>
      </w:r>
      <w:r w:rsidR="007F34CE">
        <w:rPr>
          <w:rFonts w:ascii="Cambria" w:hAnsi="Cambria"/>
          <w:noProof/>
          <w:sz w:val="22"/>
          <w:szCs w:val="22"/>
          <w:lang w:val="sr-Latn-BA"/>
        </w:rPr>
        <w:t>4</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53697C">
        <w:rPr>
          <w:rFonts w:ascii="Cambria" w:hAnsi="Cambria"/>
          <w:noProof/>
          <w:sz w:val="22"/>
          <w:szCs w:val="22"/>
          <w:lang w:val="sr-Latn-BA"/>
        </w:rPr>
        <w:t>9,0912</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53697C" w:rsidRPr="0053697C">
        <w:rPr>
          <w:rFonts w:ascii="Cambria" w:hAnsi="Cambria" w:cs="Arial"/>
          <w:bCs/>
          <w:sz w:val="20"/>
          <w:szCs w:val="20"/>
        </w:rPr>
        <w:t>6,058,809.95</w:t>
      </w:r>
      <w:r w:rsidR="0053697C">
        <w:rPr>
          <w:rFonts w:ascii="Cambria" w:hAnsi="Cambria" w:cs="Arial"/>
          <w:b/>
          <w:bCs/>
          <w:sz w:val="20"/>
          <w:szCs w:val="20"/>
        </w:rPr>
        <w:t xml:space="preserve"> </w:t>
      </w:r>
      <w:r w:rsidR="004F2F31" w:rsidRPr="00A13C71">
        <w:rPr>
          <w:rFonts w:ascii="Cambria" w:hAnsi="Cambria"/>
          <w:noProof/>
          <w:sz w:val="22"/>
          <w:szCs w:val="22"/>
          <w:lang w:val="sr-Latn-BA"/>
        </w:rPr>
        <w:t>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8B7ABE" w:rsidRDefault="0033759C" w:rsidP="0033759C">
      <w:pPr>
        <w:jc w:val="both"/>
        <w:rPr>
          <w:rFonts w:ascii="Cambria" w:hAnsi="Cambria"/>
          <w:b/>
          <w:bCs/>
          <w:i/>
          <w:iCs/>
          <w:noProof/>
          <w:lang w:val="sr-Latn-BA"/>
        </w:rPr>
      </w:pPr>
      <w:r w:rsidRPr="008B7ABE">
        <w:rPr>
          <w:rFonts w:ascii="Cambria" w:hAnsi="Cambria"/>
          <w:b/>
          <w:bCs/>
          <w:i/>
          <w:iCs/>
          <w:noProof/>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62F23123"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w:t>
      </w:r>
      <w:r w:rsidR="00D86A9F">
        <w:rPr>
          <w:rFonts w:ascii="Cambria" w:hAnsi="Cambria"/>
          <w:noProof/>
          <w:sz w:val="22"/>
          <w:szCs w:val="22"/>
          <w:lang w:val="sr-Latn-BA"/>
        </w:rPr>
        <w:t>ELDO</w:t>
      </w:r>
      <w:r w:rsidRPr="00A13C71">
        <w:rPr>
          <w:rFonts w:ascii="Cambria" w:hAnsi="Cambria"/>
          <w:noProof/>
          <w:sz w:val="22"/>
          <w:szCs w:val="22"/>
          <w:lang w:val="sr-Latn-BA"/>
        </w:rPr>
        <w:t xml:space="preserve">-R-A u iznosu od </w:t>
      </w:r>
      <w:r w:rsidR="00DA30E8">
        <w:rPr>
          <w:rFonts w:ascii="Cambria" w:hAnsi="Cambria"/>
          <w:noProof/>
          <w:sz w:val="22"/>
          <w:szCs w:val="22"/>
          <w:lang w:val="sr-Latn-BA"/>
        </w:rPr>
        <w:t>657.050,89</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7646E98A"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E01A4F">
        <w:rPr>
          <w:rFonts w:ascii="Cambria" w:hAnsi="Cambria"/>
          <w:noProof/>
          <w:sz w:val="22"/>
          <w:szCs w:val="22"/>
          <w:lang w:val="sr-Latn-BA"/>
        </w:rPr>
        <w:t>169.948,88</w:t>
      </w:r>
      <w:r w:rsidRPr="00A13C71">
        <w:rPr>
          <w:rFonts w:ascii="Cambria" w:hAnsi="Cambria"/>
          <w:noProof/>
          <w:sz w:val="22"/>
          <w:szCs w:val="22"/>
          <w:lang w:val="sr-Latn-BA"/>
        </w:rPr>
        <w:t xml:space="preserve"> KM.</w:t>
      </w:r>
    </w:p>
    <w:p w14:paraId="52F8694D" w14:textId="7652263C"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21778B11" w:rsidR="00FA3AE1"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21EBDC2" w14:textId="77777777" w:rsidR="008B7ABE" w:rsidRPr="003A5E87" w:rsidRDefault="008B7ABE" w:rsidP="00FA3AE1">
      <w:pPr>
        <w:jc w:val="both"/>
        <w:rPr>
          <w:rFonts w:ascii="Cambria" w:hAnsi="Cambria"/>
          <w:b/>
          <w:bCs/>
          <w:iCs/>
          <w:noProof/>
          <w:sz w:val="22"/>
          <w:szCs w:val="22"/>
          <w:lang w:val="sr-Latn-BA"/>
        </w:rPr>
      </w:pP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3D5B6B1A" w14:textId="2514E31E" w:rsidR="00640736" w:rsidRPr="00D86A9F" w:rsidRDefault="00640736" w:rsidP="00755ED8">
      <w:pPr>
        <w:jc w:val="both"/>
        <w:rPr>
          <w:rFonts w:ascii="Cambria" w:hAnsi="Cambria"/>
          <w:noProof/>
          <w:sz w:val="22"/>
          <w:szCs w:val="22"/>
          <w:lang w:val="sr-Latn-BA"/>
        </w:rPr>
      </w:pPr>
      <w:bookmarkStart w:id="22" w:name="_Hlk108087448"/>
      <w:bookmarkStart w:id="23" w:name="_Hlk102139912"/>
      <w:r>
        <w:rPr>
          <w:rFonts w:ascii="Cambria" w:hAnsi="Cambria"/>
          <w:noProof/>
          <w:sz w:val="22"/>
          <w:szCs w:val="22"/>
          <w:lang w:val="sr-Latn-BA"/>
        </w:rPr>
        <w:t>U posmatranom periodu OAIF Adriatic Balanced pove</w:t>
      </w:r>
      <w:r w:rsidR="005C2AC3">
        <w:rPr>
          <w:rFonts w:ascii="Cambria" w:hAnsi="Cambria"/>
          <w:noProof/>
          <w:sz w:val="22"/>
          <w:szCs w:val="22"/>
          <w:lang w:val="sr-Latn-BA"/>
        </w:rPr>
        <w:t>ćana je vrijednos imovine za 487.104,76</w:t>
      </w:r>
      <w:r>
        <w:rPr>
          <w:rFonts w:ascii="Cambria" w:hAnsi="Cambria"/>
          <w:noProof/>
          <w:sz w:val="22"/>
          <w:szCs w:val="22"/>
          <w:lang w:val="sr-Latn-BA"/>
        </w:rPr>
        <w:t xml:space="preserve"> KM. Promjene u neto imovini su rezultat po osnovu smanjenja fer vrijednosti od </w:t>
      </w:r>
      <w:r w:rsidR="005C2AC3">
        <w:rPr>
          <w:rFonts w:ascii="Cambria" w:hAnsi="Cambria"/>
          <w:noProof/>
          <w:sz w:val="22"/>
          <w:szCs w:val="22"/>
          <w:lang w:val="sr-Latn-BA"/>
        </w:rPr>
        <w:t>67.737,85</w:t>
      </w:r>
      <w:r>
        <w:rPr>
          <w:rFonts w:ascii="Cambria" w:hAnsi="Cambria"/>
          <w:noProof/>
          <w:sz w:val="22"/>
          <w:szCs w:val="22"/>
          <w:lang w:val="sr-Latn-BA"/>
        </w:rPr>
        <w:t xml:space="preserve"> KM. Povećanje je korigovano za ostvareni pozitivni finansijski rezulatat od </w:t>
      </w:r>
      <w:r w:rsidR="005F21D7">
        <w:rPr>
          <w:rFonts w:ascii="Cambria" w:hAnsi="Cambria"/>
          <w:noProof/>
          <w:sz w:val="22"/>
          <w:szCs w:val="22"/>
          <w:lang w:val="sr-Latn-BA"/>
        </w:rPr>
        <w:t>487</w:t>
      </w:r>
      <w:r w:rsidR="005C2AC3">
        <w:rPr>
          <w:rFonts w:ascii="Cambria" w:hAnsi="Cambria"/>
          <w:noProof/>
          <w:sz w:val="22"/>
          <w:szCs w:val="22"/>
          <w:lang w:val="sr-Latn-BA"/>
        </w:rPr>
        <w:t>.</w:t>
      </w:r>
      <w:r w:rsidR="005F21D7">
        <w:rPr>
          <w:rFonts w:ascii="Cambria" w:hAnsi="Cambria"/>
          <w:noProof/>
          <w:sz w:val="22"/>
          <w:szCs w:val="22"/>
          <w:lang w:val="sr-Latn-BA"/>
        </w:rPr>
        <w:t>104,76</w:t>
      </w:r>
      <w:r>
        <w:rPr>
          <w:rFonts w:ascii="Cambria" w:hAnsi="Cambria"/>
          <w:noProof/>
          <w:sz w:val="22"/>
          <w:szCs w:val="22"/>
          <w:lang w:val="sr-Latn-BA"/>
        </w:rPr>
        <w:t xml:space="preserve"> KM, smanjenje imovine OAIF </w:t>
      </w:r>
      <w:r w:rsidR="00453778">
        <w:rPr>
          <w:rFonts w:ascii="Cambria" w:hAnsi="Cambria"/>
          <w:noProof/>
          <w:sz w:val="22"/>
          <w:szCs w:val="22"/>
          <w:lang w:val="sr-Latn-BA"/>
        </w:rPr>
        <w:t>A</w:t>
      </w:r>
      <w:r>
        <w:rPr>
          <w:rFonts w:ascii="Cambria" w:hAnsi="Cambria"/>
          <w:noProof/>
          <w:sz w:val="22"/>
          <w:szCs w:val="22"/>
          <w:lang w:val="sr-Latn-BA"/>
        </w:rPr>
        <w:t>driatic Balanced po osnovu povlačenja udjela f</w:t>
      </w:r>
      <w:r w:rsidR="005F21D7">
        <w:rPr>
          <w:rFonts w:ascii="Cambria" w:hAnsi="Cambria"/>
          <w:noProof/>
          <w:sz w:val="22"/>
          <w:szCs w:val="22"/>
          <w:lang w:val="sr-Latn-BA"/>
        </w:rPr>
        <w:t>onda (otkup udjela) od 10.210,09</w:t>
      </w:r>
      <w:r>
        <w:rPr>
          <w:rFonts w:ascii="Cambria" w:hAnsi="Cambria"/>
          <w:noProof/>
          <w:sz w:val="22"/>
          <w:szCs w:val="22"/>
          <w:lang w:val="sr-Latn-BA"/>
        </w:rPr>
        <w:t xml:space="preserve"> K</w:t>
      </w:r>
      <w:r w:rsidR="00453778">
        <w:rPr>
          <w:rFonts w:ascii="Cambria" w:hAnsi="Cambria"/>
          <w:noProof/>
          <w:sz w:val="22"/>
          <w:szCs w:val="22"/>
          <w:lang w:val="sr-Latn-BA"/>
        </w:rPr>
        <w:t>M i realizovanog dobitka na prodaji priznatog direktno u kapitalu od 5.880,00 KM.</w:t>
      </w:r>
    </w:p>
    <w:bookmarkEnd w:id="22"/>
    <w:bookmarkEnd w:id="23"/>
    <w:p w14:paraId="746FC04D" w14:textId="77777777" w:rsidR="0090230B" w:rsidRPr="00D86A9F" w:rsidRDefault="0090230B" w:rsidP="00755ED8">
      <w:pPr>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5A7B3877"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EC3BB1">
        <w:rPr>
          <w:rStyle w:val="FontStyle11"/>
          <w:rFonts w:ascii="Cambria" w:hAnsi="Cambria" w:cs="Tahoma"/>
          <w:b w:val="0"/>
          <w:bCs w:val="0"/>
          <w:noProof/>
          <w:sz w:val="22"/>
          <w:szCs w:val="22"/>
          <w:lang w:val="sr-Latn-BA"/>
        </w:rPr>
        <w:t>0</w:t>
      </w:r>
      <w:r w:rsidR="007F3D42" w:rsidRPr="00A13C71">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0</w:t>
      </w:r>
      <w:r w:rsidR="005C2AC3">
        <w:rPr>
          <w:rStyle w:val="FontStyle11"/>
          <w:rFonts w:ascii="Cambria" w:hAnsi="Cambria" w:cs="Tahoma"/>
          <w:b w:val="0"/>
          <w:bCs w:val="0"/>
          <w:noProof/>
          <w:sz w:val="22"/>
          <w:szCs w:val="22"/>
          <w:lang w:val="sr-Latn-BA"/>
        </w:rPr>
        <w:t>9</w:t>
      </w:r>
      <w:r w:rsidR="00DA78E7" w:rsidRPr="00A13C71">
        <w:rPr>
          <w:rStyle w:val="FontStyle11"/>
          <w:rFonts w:ascii="Cambria" w:hAnsi="Cambria" w:cs="Tahoma"/>
          <w:b w:val="0"/>
          <w:bCs w:val="0"/>
          <w:noProof/>
          <w:sz w:val="22"/>
          <w:szCs w:val="22"/>
          <w:lang w:val="sr-Latn-BA"/>
        </w:rPr>
        <w:t>.202</w:t>
      </w:r>
      <w:r w:rsidR="00D86A9F">
        <w:rPr>
          <w:rStyle w:val="FontStyle11"/>
          <w:rFonts w:ascii="Cambria" w:hAnsi="Cambria" w:cs="Tahoma"/>
          <w:b w:val="0"/>
          <w:bCs w:val="0"/>
          <w:noProof/>
          <w:sz w:val="22"/>
          <w:szCs w:val="22"/>
          <w:lang w:val="sr-Latn-BA"/>
        </w:rPr>
        <w:t>4</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8B7448">
        <w:rPr>
          <w:rStyle w:val="FontStyle11"/>
          <w:rFonts w:ascii="Cambria" w:hAnsi="Cambria" w:cs="Tahoma"/>
          <w:b w:val="0"/>
          <w:bCs w:val="0"/>
          <w:noProof/>
          <w:sz w:val="22"/>
          <w:szCs w:val="22"/>
          <w:lang w:val="sr-Latn-BA"/>
        </w:rPr>
        <w:t>169.948,88</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045529">
        <w:rPr>
          <w:rStyle w:val="FontStyle11"/>
          <w:rFonts w:ascii="Cambria" w:hAnsi="Cambria" w:cs="Tahoma"/>
          <w:b w:val="0"/>
          <w:bCs w:val="0"/>
          <w:noProof/>
          <w:sz w:val="22"/>
          <w:szCs w:val="22"/>
          <w:lang w:val="sr-Latn-BA"/>
        </w:rPr>
        <w:t>380,39</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4"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D86A9F">
        <w:rPr>
          <w:rStyle w:val="FontStyle11"/>
          <w:rFonts w:ascii="Cambria" w:hAnsi="Cambria" w:cs="Tahoma"/>
          <w:b w:val="0"/>
          <w:bCs w:val="0"/>
          <w:noProof/>
          <w:sz w:val="22"/>
          <w:szCs w:val="22"/>
          <w:lang w:val="sr-Latn-BA"/>
        </w:rPr>
        <w:t>32</w:t>
      </w:r>
      <w:r w:rsidR="002643B0">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706,30</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D86A9F">
        <w:rPr>
          <w:rStyle w:val="FontStyle11"/>
          <w:rFonts w:ascii="Cambria" w:hAnsi="Cambria" w:cs="Tahoma"/>
          <w:b w:val="0"/>
          <w:bCs w:val="0"/>
          <w:noProof/>
          <w:sz w:val="22"/>
          <w:szCs w:val="22"/>
          <w:lang w:val="sr-Latn-BA"/>
        </w:rPr>
        <w:t xml:space="preserve">novembar i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D86A9F">
        <w:rPr>
          <w:rStyle w:val="FontStyle11"/>
          <w:rFonts w:ascii="Cambria" w:hAnsi="Cambria" w:cs="Tahoma"/>
          <w:b w:val="0"/>
          <w:bCs w:val="0"/>
          <w:noProof/>
          <w:sz w:val="22"/>
          <w:szCs w:val="22"/>
          <w:lang w:val="sr-Latn-BA"/>
        </w:rPr>
        <w:t>3</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59E7256D"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8B7448">
        <w:rPr>
          <w:rStyle w:val="FontStyle11"/>
          <w:rFonts w:ascii="Cambria" w:hAnsi="Cambria" w:cs="Tahoma"/>
          <w:b w:val="0"/>
          <w:bCs w:val="0"/>
          <w:noProof/>
          <w:sz w:val="22"/>
          <w:szCs w:val="22"/>
          <w:lang w:val="sr-Latn-BA"/>
        </w:rPr>
        <w:t>169.979,88</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045529">
        <w:rPr>
          <w:rStyle w:val="FontStyle11"/>
          <w:rFonts w:ascii="Cambria" w:hAnsi="Cambria" w:cs="Tahoma"/>
          <w:b w:val="0"/>
          <w:bCs w:val="0"/>
          <w:noProof/>
          <w:sz w:val="22"/>
          <w:szCs w:val="22"/>
          <w:lang w:val="sr-Latn-BA"/>
        </w:rPr>
        <w:t>518,15</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4"/>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006C9E">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4272A23B" w14:textId="77777777" w:rsidR="008B7ABE" w:rsidRDefault="008B7ABE" w:rsidP="0033759C">
      <w:pPr>
        <w:jc w:val="both"/>
        <w:rPr>
          <w:rFonts w:ascii="Cambria" w:hAnsi="Cambria"/>
          <w:b/>
          <w:bCs/>
          <w:i/>
          <w:iCs/>
          <w:noProof/>
          <w:sz w:val="22"/>
          <w:szCs w:val="22"/>
          <w:lang w:val="sr-Latn-BA"/>
        </w:rPr>
      </w:pPr>
    </w:p>
    <w:p w14:paraId="58049524" w14:textId="77777777" w:rsidR="008B7ABE" w:rsidRDefault="008B7ABE" w:rsidP="0033759C">
      <w:pPr>
        <w:jc w:val="both"/>
        <w:rPr>
          <w:rFonts w:ascii="Cambria" w:hAnsi="Cambria"/>
          <w:b/>
          <w:bCs/>
          <w:i/>
          <w:iCs/>
          <w:noProof/>
          <w:sz w:val="22"/>
          <w:szCs w:val="22"/>
          <w:lang w:val="sr-Latn-BA"/>
        </w:rPr>
      </w:pPr>
    </w:p>
    <w:p w14:paraId="3DBB12DD" w14:textId="77777777" w:rsidR="00C1662B" w:rsidRDefault="00C1662B" w:rsidP="0033759C">
      <w:pPr>
        <w:jc w:val="both"/>
        <w:rPr>
          <w:rFonts w:ascii="Cambria" w:hAnsi="Cambria"/>
          <w:b/>
          <w:bCs/>
          <w:i/>
          <w:iCs/>
          <w:noProof/>
          <w:sz w:val="22"/>
          <w:szCs w:val="22"/>
          <w:lang w:val="sr-Latn-BA"/>
        </w:rPr>
      </w:pPr>
    </w:p>
    <w:p w14:paraId="4E3BC8C1" w14:textId="77777777" w:rsidR="00C1662B" w:rsidRDefault="00C1662B" w:rsidP="0033759C">
      <w:pPr>
        <w:jc w:val="both"/>
        <w:rPr>
          <w:rFonts w:ascii="Cambria" w:hAnsi="Cambria"/>
          <w:b/>
          <w:bCs/>
          <w:i/>
          <w:iCs/>
          <w:noProof/>
          <w:sz w:val="22"/>
          <w:szCs w:val="22"/>
          <w:lang w:val="sr-Latn-BA"/>
        </w:rPr>
      </w:pPr>
    </w:p>
    <w:p w14:paraId="3F0B10D5" w14:textId="77777777" w:rsidR="00B96F4D" w:rsidRDefault="00B96F4D" w:rsidP="0033759C">
      <w:pPr>
        <w:jc w:val="both"/>
        <w:rPr>
          <w:rFonts w:ascii="Cambria" w:hAnsi="Cambria"/>
          <w:b/>
          <w:bCs/>
          <w:i/>
          <w:iCs/>
          <w:noProof/>
          <w:sz w:val="22"/>
          <w:szCs w:val="22"/>
          <w:lang w:val="sr-Latn-BA"/>
        </w:rPr>
      </w:pPr>
    </w:p>
    <w:p w14:paraId="3A24B65F" w14:textId="77777777" w:rsidR="00B96F4D" w:rsidRDefault="00B96F4D" w:rsidP="0033759C">
      <w:pPr>
        <w:jc w:val="both"/>
        <w:rPr>
          <w:rFonts w:ascii="Cambria" w:hAnsi="Cambria"/>
          <w:b/>
          <w:bCs/>
          <w:i/>
          <w:iCs/>
          <w:noProof/>
          <w:sz w:val="22"/>
          <w:szCs w:val="22"/>
          <w:lang w:val="sr-Latn-BA"/>
        </w:rPr>
      </w:pPr>
    </w:p>
    <w:p w14:paraId="013E76B6" w14:textId="77777777" w:rsidR="00B96F4D" w:rsidRDefault="00B96F4D" w:rsidP="0033759C">
      <w:pPr>
        <w:jc w:val="both"/>
        <w:rPr>
          <w:rFonts w:ascii="Cambria" w:hAnsi="Cambria"/>
          <w:b/>
          <w:bCs/>
          <w:i/>
          <w:iCs/>
          <w:noProof/>
          <w:sz w:val="22"/>
          <w:szCs w:val="22"/>
          <w:lang w:val="sr-Latn-BA"/>
        </w:rPr>
      </w:pPr>
    </w:p>
    <w:p w14:paraId="53EC8B79" w14:textId="4CCF7802"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C63246">
      <w:pPr>
        <w:keepNext/>
        <w:shd w:val="clear" w:color="auto" w:fill="FFFFFF" w:themeFill="background1"/>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0E82D510" w:rsidR="0033759C" w:rsidRPr="00B51294" w:rsidRDefault="0033759C" w:rsidP="00C63246">
      <w:pPr>
        <w:keepNext/>
        <w:shd w:val="clear" w:color="auto" w:fill="FFFFFF" w:themeFill="background1"/>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0E7B06" w:rsidRPr="00B51294">
        <w:rPr>
          <w:rFonts w:ascii="Cambria" w:hAnsi="Cambria"/>
          <w:noProof/>
          <w:sz w:val="22"/>
          <w:szCs w:val="22"/>
          <w:u w:val="single"/>
          <w:lang w:val="sr-Latn-BA"/>
        </w:rPr>
        <w:t>169.948,88</w:t>
      </w:r>
      <w:r w:rsidRPr="00B51294">
        <w:rPr>
          <w:rFonts w:ascii="Cambria" w:hAnsi="Cambria"/>
          <w:noProof/>
          <w:sz w:val="22"/>
          <w:szCs w:val="22"/>
          <w:u w:val="single"/>
          <w:lang w:val="sr-Latn-BA"/>
        </w:rPr>
        <w:t>_</w:t>
      </w:r>
      <w:r w:rsidRPr="00B51294">
        <w:rPr>
          <w:rFonts w:ascii="Cambria" w:hAnsi="Cambria"/>
          <w:noProof/>
          <w:sz w:val="22"/>
          <w:szCs w:val="22"/>
          <w:lang w:val="sr-Latn-BA"/>
        </w:rPr>
        <w:t xml:space="preserve">   =  </w:t>
      </w:r>
      <w:r w:rsidR="00BE6E56">
        <w:rPr>
          <w:rFonts w:ascii="Cambria" w:hAnsi="Cambria"/>
          <w:noProof/>
          <w:sz w:val="22"/>
          <w:szCs w:val="22"/>
          <w:lang w:val="sr-Latn-BA"/>
        </w:rPr>
        <w:t>3</w:t>
      </w:r>
      <w:r w:rsidR="000E7B06" w:rsidRPr="00B51294">
        <w:rPr>
          <w:rFonts w:ascii="Cambria" w:hAnsi="Cambria"/>
          <w:noProof/>
          <w:sz w:val="22"/>
          <w:szCs w:val="22"/>
          <w:lang w:val="sr-Latn-BA"/>
        </w:rPr>
        <w:t>,028049</w:t>
      </w:r>
      <w:r w:rsidRPr="00B51294">
        <w:rPr>
          <w:rFonts w:ascii="Cambria" w:hAnsi="Cambria"/>
          <w:noProof/>
          <w:sz w:val="22"/>
          <w:szCs w:val="22"/>
          <w:lang w:val="sr-Latn-BA"/>
        </w:rPr>
        <w:t xml:space="preserve"> %</w:t>
      </w:r>
      <w:r w:rsidR="00A11412" w:rsidRPr="00B51294">
        <w:rPr>
          <w:rFonts w:ascii="Cambria" w:hAnsi="Cambria"/>
          <w:noProof/>
          <w:sz w:val="22"/>
          <w:szCs w:val="22"/>
          <w:lang w:val="sr-Latn-BA"/>
        </w:rPr>
        <w:t xml:space="preserve">  </w:t>
      </w:r>
    </w:p>
    <w:p w14:paraId="0BA0F707" w14:textId="04A421B4" w:rsidR="0033759C" w:rsidRPr="00A13C71" w:rsidRDefault="0033759C" w:rsidP="00C63246">
      <w:pPr>
        <w:shd w:val="clear" w:color="auto" w:fill="FFFFFF" w:themeFill="background1"/>
        <w:rPr>
          <w:rFonts w:ascii="Cambria" w:hAnsi="Cambria"/>
          <w:noProof/>
          <w:sz w:val="22"/>
          <w:szCs w:val="22"/>
          <w:lang w:val="sr-Latn-BA"/>
        </w:rPr>
      </w:pPr>
      <w:r w:rsidRPr="00B51294">
        <w:rPr>
          <w:rFonts w:ascii="Cambria" w:hAnsi="Cambria"/>
          <w:noProof/>
          <w:sz w:val="22"/>
          <w:szCs w:val="22"/>
          <w:lang w:val="sr-Latn-BA"/>
        </w:rPr>
        <w:t xml:space="preserve">Prosječna neto vrijednost imovine                                          </w:t>
      </w:r>
      <w:r w:rsidR="00C82074" w:rsidRPr="00B51294">
        <w:rPr>
          <w:rFonts w:ascii="Cambria" w:hAnsi="Cambria"/>
          <w:noProof/>
          <w:sz w:val="22"/>
          <w:szCs w:val="22"/>
          <w:lang w:val="sr-Latn-BA"/>
        </w:rPr>
        <w:t xml:space="preserve">  </w:t>
      </w:r>
      <w:r w:rsidRPr="00B51294">
        <w:rPr>
          <w:rFonts w:ascii="Cambria" w:hAnsi="Cambria"/>
          <w:noProof/>
          <w:sz w:val="22"/>
          <w:szCs w:val="22"/>
          <w:lang w:val="sr-Latn-BA"/>
        </w:rPr>
        <w:t xml:space="preserve"> </w:t>
      </w:r>
      <w:r w:rsidR="000E7B06" w:rsidRPr="00B51294">
        <w:rPr>
          <w:rFonts w:ascii="Cambria" w:hAnsi="Cambria"/>
          <w:noProof/>
          <w:sz w:val="22"/>
          <w:szCs w:val="22"/>
          <w:lang w:val="sr-Latn-BA"/>
        </w:rPr>
        <w:t>6.058.809,95</w:t>
      </w:r>
    </w:p>
    <w:p w14:paraId="66C9E7E6" w14:textId="77777777" w:rsidR="00E15FC7" w:rsidRPr="00A13C71" w:rsidRDefault="00E15FC7" w:rsidP="00C63246">
      <w:pPr>
        <w:shd w:val="clear" w:color="auto" w:fill="FFFFFF" w:themeFill="background1"/>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22A7B1D5"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045529">
        <w:rPr>
          <w:rFonts w:ascii="Cambria" w:hAnsi="Cambria"/>
          <w:noProof/>
          <w:sz w:val="22"/>
          <w:szCs w:val="22"/>
          <w:lang w:val="sr-Latn-BA"/>
        </w:rPr>
        <w:t>0</w:t>
      </w:r>
      <w:r w:rsidRPr="00A13C71">
        <w:rPr>
          <w:rFonts w:ascii="Cambria" w:hAnsi="Cambria"/>
          <w:noProof/>
          <w:sz w:val="22"/>
          <w:szCs w:val="22"/>
          <w:lang w:val="sr-Latn-BA"/>
        </w:rPr>
        <w:t>.</w:t>
      </w:r>
      <w:r w:rsidR="0015077E">
        <w:rPr>
          <w:rFonts w:ascii="Cambria" w:hAnsi="Cambria"/>
          <w:noProof/>
          <w:sz w:val="22"/>
          <w:szCs w:val="22"/>
          <w:lang w:val="sr-Latn-BA"/>
        </w:rPr>
        <w:t>0</w:t>
      </w:r>
      <w:r w:rsidR="00704F67">
        <w:rPr>
          <w:rFonts w:ascii="Cambria" w:hAnsi="Cambria"/>
          <w:noProof/>
          <w:sz w:val="22"/>
          <w:szCs w:val="22"/>
          <w:lang w:val="sr-Latn-BA"/>
        </w:rPr>
        <w:t>9</w:t>
      </w:r>
      <w:r w:rsidR="002C1E2A" w:rsidRPr="00A13C71">
        <w:rPr>
          <w:rFonts w:ascii="Cambria" w:hAnsi="Cambria"/>
          <w:noProof/>
          <w:sz w:val="22"/>
          <w:szCs w:val="22"/>
          <w:lang w:val="sr-Latn-BA"/>
        </w:rPr>
        <w:t>.202</w:t>
      </w:r>
      <w:r w:rsidR="0015077E">
        <w:rPr>
          <w:rFonts w:ascii="Cambria" w:hAnsi="Cambria"/>
          <w:noProof/>
          <w:sz w:val="22"/>
          <w:szCs w:val="22"/>
          <w:lang w:val="sr-Latn-BA"/>
        </w:rPr>
        <w:t>4</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006C9E">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1650D715"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15077E">
              <w:rPr>
                <w:rFonts w:ascii="Cambria" w:hAnsi="Cambria" w:cs="Arial"/>
                <w:noProof/>
                <w:sz w:val="22"/>
                <w:szCs w:val="22"/>
                <w:lang w:val="sr-Latn-BA"/>
              </w:rPr>
              <w:t>2</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447C122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w:t>
            </w:r>
            <w:r w:rsidR="0015077E">
              <w:rPr>
                <w:rFonts w:ascii="Cambria" w:hAnsi="Cambria" w:cs="Arial"/>
                <w:noProof/>
                <w:sz w:val="22"/>
                <w:szCs w:val="22"/>
                <w:lang w:val="sr-Latn-BA"/>
              </w:rPr>
              <w:t>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65F505D3"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15077E">
              <w:rPr>
                <w:rFonts w:ascii="Cambria" w:hAnsi="Cambria" w:cs="Arial"/>
                <w:noProof/>
                <w:sz w:val="22"/>
                <w:szCs w:val="22"/>
                <w:lang w:val="sr-Latn-BA"/>
              </w:rPr>
              <w:t>2</w:t>
            </w:r>
            <w:r w:rsidR="0015077E">
              <w:rPr>
                <w:rFonts w:cs="Arial"/>
              </w:rPr>
              <w:t>0</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28133202"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6</w:t>
            </w:r>
            <w:r w:rsidRPr="0015077E">
              <w:rPr>
                <w:rFonts w:asciiTheme="majorHAnsi" w:hAnsiTheme="majorHAnsi" w:cs="Arial"/>
                <w:sz w:val="22"/>
                <w:szCs w:val="22"/>
              </w:rPr>
              <w:t>.108.043,97</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01D6A8F1"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4.932.264,10</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0710C090"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5.682.467,76</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3F5D5F78"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5.289.815,01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03CA185D"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6.162.759,07</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4848913B"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7</w:t>
            </w:r>
            <w:r w:rsidRPr="0015077E">
              <w:rPr>
                <w:rFonts w:asciiTheme="majorHAnsi" w:hAnsiTheme="majorHAnsi" w:cs="Arial"/>
                <w:sz w:val="22"/>
                <w:szCs w:val="22"/>
              </w:rPr>
              <w:t>.179.501,38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695DC063"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6.233.238,48</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0E45AA2A"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6.500.706,94</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4FD66E2C"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6.196.959,59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5FE1CD45" w:rsidR="00ED4BDA" w:rsidRPr="00A13C71" w:rsidRDefault="0015077E" w:rsidP="00ED4BDA">
            <w:pPr>
              <w:rPr>
                <w:rFonts w:ascii="Cambria" w:hAnsi="Cambria" w:cs="Arial"/>
                <w:noProof/>
                <w:color w:val="FF0000"/>
                <w:sz w:val="22"/>
                <w:szCs w:val="22"/>
                <w:lang w:val="sr-Latn-BA"/>
              </w:rPr>
            </w:pPr>
            <w:r w:rsidRPr="0015077E">
              <w:rPr>
                <w:rFonts w:ascii="Cambria" w:hAnsi="Cambria" w:cs="Arial"/>
                <w:noProof/>
                <w:sz w:val="22"/>
                <w:szCs w:val="22"/>
                <w:lang w:val="sr-Latn-BA"/>
              </w:rPr>
              <w:t>6.959.155,42</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2C3403E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w:t>
            </w:r>
            <w:r>
              <w:rPr>
                <w:rFonts w:cs="Arial"/>
              </w:rPr>
              <w:t>,39</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0F55504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,77</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1802A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7</w:t>
            </w:r>
            <w:r>
              <w:rPr>
                <w:rFonts w:cs="Arial"/>
              </w:rPr>
              <w:t>,72</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7E8489A3"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w:t>
            </w:r>
            <w:r>
              <w:rPr>
                <w:rFonts w:cs="Arial"/>
              </w:rPr>
              <w:t>,31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3E8E1593"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5E5145">
              <w:rPr>
                <w:rFonts w:ascii="Cambria" w:hAnsi="Cambria" w:cs="Arial"/>
                <w:noProof/>
                <w:sz w:val="22"/>
                <w:szCs w:val="22"/>
                <w:lang w:val="sr-Latn-BA"/>
              </w:rPr>
              <w:t>5</w:t>
            </w:r>
            <w:r w:rsidR="005E5145">
              <w:rPr>
                <w:rFonts w:cs="Arial"/>
              </w:rPr>
              <w:t>,37</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5FD2B92"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9,87</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1A9FFA3"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8,53</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6232ECB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47697E6D"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5,57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10E8AC5A"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,06</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6172979B"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2B8EEC6F"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4,59</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7AA7B0B4"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6CEA9C15"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5,20</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707BB66E" w:rsidR="007066CB" w:rsidRPr="00A13C71" w:rsidRDefault="00045529">
            <w:pPr>
              <w:rPr>
                <w:rFonts w:ascii="Cambria" w:hAnsi="Cambria"/>
                <w:noProof/>
                <w:color w:val="000000"/>
                <w:sz w:val="22"/>
                <w:szCs w:val="22"/>
                <w:lang w:val="sr-Latn-BA"/>
              </w:rPr>
            </w:pPr>
            <w:r>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68807858" w:rsidR="007066CB" w:rsidRPr="00A13C71" w:rsidRDefault="00045529" w:rsidP="008B377D">
            <w:pPr>
              <w:jc w:val="right"/>
              <w:rPr>
                <w:rFonts w:ascii="Cambria" w:hAnsi="Cambria"/>
                <w:noProof/>
                <w:color w:val="000000"/>
                <w:sz w:val="22"/>
                <w:szCs w:val="22"/>
                <w:lang w:val="sr-Latn-BA"/>
              </w:rPr>
            </w:pPr>
            <w:r>
              <w:rPr>
                <w:rFonts w:ascii="Cambria" w:hAnsi="Cambria"/>
                <w:noProof/>
                <w:color w:val="000000"/>
                <w:sz w:val="22"/>
                <w:szCs w:val="22"/>
                <w:lang w:val="sr-Latn-BA"/>
              </w:rPr>
              <w:t>33.500,00</w:t>
            </w:r>
          </w:p>
        </w:tc>
        <w:tc>
          <w:tcPr>
            <w:tcW w:w="1956" w:type="dxa"/>
            <w:tcBorders>
              <w:top w:val="nil"/>
              <w:left w:val="nil"/>
              <w:bottom w:val="single" w:sz="4" w:space="0" w:color="808080"/>
              <w:right w:val="single" w:sz="4" w:space="0" w:color="808080"/>
            </w:tcBorders>
            <w:shd w:val="clear" w:color="auto" w:fill="auto"/>
            <w:vAlign w:val="center"/>
          </w:tcPr>
          <w:p w14:paraId="4FDB08C3" w14:textId="467A1AB4" w:rsidR="007066CB" w:rsidRPr="00A13C71" w:rsidRDefault="00045529" w:rsidP="008B377D">
            <w:pPr>
              <w:jc w:val="right"/>
              <w:rPr>
                <w:rFonts w:ascii="Cambria" w:hAnsi="Cambria"/>
                <w:noProof/>
                <w:color w:val="000000"/>
                <w:sz w:val="22"/>
                <w:szCs w:val="22"/>
                <w:lang w:val="sr-Latn-BA"/>
              </w:rPr>
            </w:pPr>
            <w:r>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4EC29121" w:rsidR="007066CB" w:rsidRPr="00A13C71" w:rsidRDefault="00045529" w:rsidP="00AD7F8B">
            <w:pPr>
              <w:jc w:val="right"/>
              <w:rPr>
                <w:rFonts w:ascii="Cambria" w:hAnsi="Cambria"/>
                <w:noProof/>
                <w:color w:val="000000"/>
                <w:sz w:val="22"/>
                <w:szCs w:val="22"/>
                <w:lang w:val="sr-Latn-BA"/>
              </w:rPr>
            </w:pPr>
            <w:r>
              <w:rPr>
                <w:rFonts w:ascii="Cambria" w:hAnsi="Cambria"/>
                <w:noProof/>
                <w:color w:val="000000"/>
                <w:sz w:val="22"/>
                <w:szCs w:val="22"/>
                <w:lang w:val="sr-Latn-BA"/>
              </w:rPr>
              <w:t>117,25</w:t>
            </w:r>
          </w:p>
        </w:tc>
        <w:tc>
          <w:tcPr>
            <w:tcW w:w="1914" w:type="dxa"/>
            <w:tcBorders>
              <w:top w:val="nil"/>
              <w:left w:val="nil"/>
              <w:bottom w:val="single" w:sz="4" w:space="0" w:color="808080"/>
              <w:right w:val="single" w:sz="4" w:space="0" w:color="808080"/>
            </w:tcBorders>
            <w:shd w:val="clear" w:color="auto" w:fill="auto"/>
            <w:vAlign w:val="center"/>
          </w:tcPr>
          <w:p w14:paraId="1AE25585" w14:textId="68F721A4" w:rsidR="007066CB" w:rsidRPr="00A13C71" w:rsidRDefault="00045529">
            <w:pPr>
              <w:jc w:val="right"/>
              <w:rPr>
                <w:rFonts w:ascii="Cambria" w:hAnsi="Cambria"/>
                <w:noProof/>
                <w:color w:val="000000"/>
                <w:sz w:val="22"/>
                <w:szCs w:val="22"/>
                <w:lang w:val="sr-Latn-BA"/>
              </w:rPr>
            </w:pPr>
            <w:r>
              <w:rPr>
                <w:rFonts w:ascii="Cambria" w:hAnsi="Cambria"/>
                <w:noProof/>
                <w:color w:val="000000"/>
                <w:sz w:val="22"/>
                <w:szCs w:val="22"/>
                <w:lang w:val="sr-Latn-BA"/>
              </w:rPr>
              <w:t>0,35</w:t>
            </w:r>
            <w:r w:rsidR="00C63246">
              <w:rPr>
                <w:rFonts w:ascii="Cambria" w:hAnsi="Cambria"/>
                <w:noProof/>
                <w:color w:val="000000"/>
                <w:sz w:val="22"/>
                <w:szCs w:val="22"/>
                <w:lang w:val="sr-Latn-BA"/>
              </w:rPr>
              <w:t>00</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2D9C2AE2"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33.500,00</w:t>
            </w:r>
          </w:p>
        </w:tc>
        <w:tc>
          <w:tcPr>
            <w:tcW w:w="1956" w:type="dxa"/>
            <w:tcBorders>
              <w:top w:val="nil"/>
              <w:left w:val="nil"/>
              <w:bottom w:val="single" w:sz="4" w:space="0" w:color="808080"/>
              <w:right w:val="single" w:sz="4" w:space="0" w:color="808080"/>
            </w:tcBorders>
            <w:shd w:val="clear" w:color="auto" w:fill="auto"/>
          </w:tcPr>
          <w:p w14:paraId="7CACC2BB" w14:textId="4CF40C31"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2F4B5BC8"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117,25</w:t>
            </w:r>
          </w:p>
        </w:tc>
        <w:tc>
          <w:tcPr>
            <w:tcW w:w="1914" w:type="dxa"/>
            <w:tcBorders>
              <w:top w:val="nil"/>
              <w:left w:val="nil"/>
              <w:bottom w:val="single" w:sz="4" w:space="0" w:color="808080"/>
              <w:right w:val="single" w:sz="4" w:space="0" w:color="808080"/>
            </w:tcBorders>
            <w:shd w:val="clear" w:color="auto" w:fill="auto"/>
          </w:tcPr>
          <w:p w14:paraId="3BB03C90" w14:textId="3DAAA32F"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0,35</w:t>
            </w:r>
            <w:r w:rsidR="00C63246">
              <w:rPr>
                <w:rFonts w:ascii="Cambria" w:hAnsi="Cambria"/>
                <w:b/>
                <w:bCs/>
                <w:noProof/>
                <w:color w:val="000000"/>
                <w:sz w:val="22"/>
                <w:szCs w:val="22"/>
                <w:lang w:val="sr-Latn-BA"/>
              </w:rPr>
              <w:t>00</w:t>
            </w:r>
          </w:p>
        </w:tc>
      </w:tr>
    </w:tbl>
    <w:p w14:paraId="66A23EA5" w14:textId="4E978743" w:rsidR="007A625F" w:rsidRPr="00A13C71" w:rsidRDefault="007A625F" w:rsidP="00A2382F">
      <w:pPr>
        <w:rPr>
          <w:rFonts w:ascii="Cambria" w:hAnsi="Cambria"/>
          <w:b/>
          <w:bCs/>
          <w:noProof/>
          <w:sz w:val="22"/>
          <w:szCs w:val="22"/>
          <w:lang w:val="sr-Latn-BA"/>
        </w:rPr>
      </w:pPr>
      <w:bookmarkStart w:id="25"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lastRenderedPageBreak/>
        <w:t xml:space="preserve">6.   </w:t>
      </w:r>
      <w:r w:rsidRPr="00A13C71">
        <w:rPr>
          <w:rFonts w:ascii="Cambria" w:hAnsi="Cambria"/>
          <w:b/>
          <w:bCs/>
          <w:noProof/>
          <w:sz w:val="22"/>
          <w:szCs w:val="22"/>
          <w:lang w:val="sr-Latn-BA"/>
        </w:rPr>
        <w:tab/>
        <w:t xml:space="preserve"> IZVJEŠTAJ O RIZICIMA</w:t>
      </w:r>
    </w:p>
    <w:p w14:paraId="721FCA83" w14:textId="77777777" w:rsidR="00C1662B" w:rsidRDefault="00C1662B" w:rsidP="00A2382F">
      <w:pPr>
        <w:rPr>
          <w:rFonts w:ascii="Cambria" w:hAnsi="Cambria"/>
          <w:b/>
          <w:bCs/>
          <w:noProof/>
          <w:sz w:val="22"/>
          <w:szCs w:val="22"/>
          <w:lang w:val="sr-Latn-BA"/>
        </w:rPr>
      </w:pPr>
    </w:p>
    <w:p w14:paraId="75EBCDB3" w14:textId="77777777" w:rsidR="00C1662B" w:rsidRPr="00712402" w:rsidRDefault="00C1662B" w:rsidP="00C1662B">
      <w:pPr>
        <w:jc w:val="both"/>
      </w:pPr>
      <w:r w:rsidRPr="00712402">
        <w:t xml:space="preserve">U </w:t>
      </w:r>
      <w:proofErr w:type="spellStart"/>
      <w:r w:rsidRPr="00712402">
        <w:t>svom</w:t>
      </w:r>
      <w:proofErr w:type="spellEnd"/>
      <w:r w:rsidRPr="00712402">
        <w:t xml:space="preserve"> </w:t>
      </w:r>
      <w:proofErr w:type="spellStart"/>
      <w:r w:rsidRPr="00712402">
        <w:t>poslovanju</w:t>
      </w:r>
      <w:proofErr w:type="spellEnd"/>
      <w:r w:rsidRPr="00712402">
        <w:t xml:space="preserve"> Fond je </w:t>
      </w:r>
      <w:proofErr w:type="spellStart"/>
      <w:r w:rsidRPr="00712402">
        <w:t>izložen</w:t>
      </w:r>
      <w:proofErr w:type="spellEnd"/>
      <w:r w:rsidRPr="00712402">
        <w:t xml:space="preserve"> </w:t>
      </w:r>
      <w:proofErr w:type="spellStart"/>
      <w:r w:rsidRPr="00712402">
        <w:t>sljedećim</w:t>
      </w:r>
      <w:proofErr w:type="spellEnd"/>
      <w:r w:rsidRPr="00712402">
        <w:t xml:space="preserve"> </w:t>
      </w:r>
      <w:proofErr w:type="spellStart"/>
      <w:r w:rsidRPr="00712402">
        <w:t>vrstama</w:t>
      </w:r>
      <w:proofErr w:type="spellEnd"/>
      <w:r w:rsidRPr="00712402">
        <w:t xml:space="preserve"> </w:t>
      </w:r>
      <w:proofErr w:type="spellStart"/>
      <w:r w:rsidRPr="00712402">
        <w:t>rizika</w:t>
      </w:r>
      <w:proofErr w:type="spellEnd"/>
      <w:r w:rsidRPr="00712402">
        <w:t>:</w:t>
      </w:r>
    </w:p>
    <w:p w14:paraId="723F3094"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Tržišni rizik  ( rizik promjene cijena finansijskih instumenata)</w:t>
      </w:r>
    </w:p>
    <w:p w14:paraId="7D3794F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Valutni rizik</w:t>
      </w:r>
    </w:p>
    <w:p w14:paraId="585B145C"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Kreditni rizik</w:t>
      </w:r>
    </w:p>
    <w:p w14:paraId="3928E9A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likvidnosti</w:t>
      </w:r>
    </w:p>
    <w:p w14:paraId="7198C2DF" w14:textId="77777777" w:rsidR="00C1662B" w:rsidRDefault="00C1662B" w:rsidP="00C1662B">
      <w:pPr>
        <w:pStyle w:val="ListParagraph"/>
        <w:numPr>
          <w:ilvl w:val="0"/>
          <w:numId w:val="26"/>
        </w:numPr>
        <w:spacing w:after="200" w:line="276" w:lineRule="auto"/>
        <w:jc w:val="both"/>
        <w:rPr>
          <w:lang w:val="bs-Latn-BA"/>
        </w:rPr>
      </w:pPr>
      <w:r w:rsidRPr="00712402">
        <w:rPr>
          <w:lang w:val="bs-Latn-BA"/>
        </w:rPr>
        <w:t>Rizik koncentracije</w:t>
      </w:r>
    </w:p>
    <w:p w14:paraId="0C78D3FC" w14:textId="77777777" w:rsidR="00C1662B" w:rsidRPr="00712402" w:rsidRDefault="00C1662B" w:rsidP="00C1662B">
      <w:pPr>
        <w:pStyle w:val="ListParagraph"/>
        <w:numPr>
          <w:ilvl w:val="0"/>
          <w:numId w:val="26"/>
        </w:numPr>
        <w:spacing w:after="200" w:line="276" w:lineRule="auto"/>
        <w:jc w:val="both"/>
        <w:rPr>
          <w:lang w:val="bs-Latn-BA"/>
        </w:rPr>
      </w:pPr>
      <w:r>
        <w:rPr>
          <w:lang w:val="bs-Latn-BA"/>
        </w:rPr>
        <w:t>Rizik otkupa udjela</w:t>
      </w:r>
    </w:p>
    <w:p w14:paraId="12691E7A"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inflacije</w:t>
      </w:r>
    </w:p>
    <w:p w14:paraId="65C2DD13"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reinvestiranja</w:t>
      </w:r>
    </w:p>
    <w:p w14:paraId="7FA808ED"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banke depozitara, poslovne banke i kastodi banke</w:t>
      </w:r>
    </w:p>
    <w:p w14:paraId="6C6B62EE"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promjene poreskih propisa</w:t>
      </w:r>
    </w:p>
    <w:p w14:paraId="6EBF47F5"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Politički i regulatorni rizik</w:t>
      </w:r>
    </w:p>
    <w:p w14:paraId="7485C438" w14:textId="4CA5ECC9" w:rsidR="00E53AF4" w:rsidRPr="00C1662B" w:rsidRDefault="00C1662B" w:rsidP="00A2382F">
      <w:pPr>
        <w:pStyle w:val="ListParagraph"/>
        <w:numPr>
          <w:ilvl w:val="0"/>
          <w:numId w:val="26"/>
        </w:numPr>
        <w:spacing w:after="200" w:line="276" w:lineRule="auto"/>
        <w:jc w:val="both"/>
        <w:rPr>
          <w:lang w:val="bs-Latn-BA"/>
        </w:rPr>
      </w:pPr>
      <w:r w:rsidRPr="00712402">
        <w:rPr>
          <w:lang w:val="bs-Latn-BA"/>
        </w:rPr>
        <w:t>Rizik promjene pozitivnih propisa</w:t>
      </w:r>
    </w:p>
    <w:bookmarkEnd w:id="25"/>
    <w:p w14:paraId="64EA6056" w14:textId="1693AD0C" w:rsidR="00664F2B" w:rsidRPr="00ED23FA" w:rsidRDefault="00163961" w:rsidP="00664F2B">
      <w:pPr>
        <w:rPr>
          <w:rFonts w:ascii="Cambria" w:hAnsi="Cambria"/>
          <w:b/>
          <w:bCs/>
          <w:noProof/>
          <w:sz w:val="22"/>
          <w:szCs w:val="22"/>
          <w:lang w:val="sr-Latn-BA"/>
        </w:rPr>
      </w:pPr>
      <w:r w:rsidRPr="00ED23FA">
        <w:rPr>
          <w:rFonts w:ascii="Cambria" w:hAnsi="Cambria"/>
          <w:b/>
          <w:bCs/>
          <w:noProof/>
          <w:sz w:val="22"/>
          <w:szCs w:val="22"/>
          <w:lang w:val="sr-Latn-BA"/>
        </w:rPr>
        <w:t>Tržišni rizik ( rizik promjene cijena finansijskih instumenata )</w:t>
      </w:r>
    </w:p>
    <w:p w14:paraId="3A626DBE" w14:textId="77777777" w:rsidR="00ED23FA" w:rsidRPr="00ED23FA" w:rsidRDefault="00ED23FA" w:rsidP="00664F2B">
      <w:pPr>
        <w:rPr>
          <w:rFonts w:ascii="Cambria" w:hAnsi="Cambria"/>
          <w:b/>
          <w:bCs/>
          <w:noProof/>
          <w:sz w:val="22"/>
          <w:szCs w:val="22"/>
          <w:lang w:val="sr-Latn-BA"/>
        </w:rPr>
      </w:pPr>
    </w:p>
    <w:p w14:paraId="3625C54A" w14:textId="1373FF52" w:rsidR="00C00D5F" w:rsidRPr="00ED23FA" w:rsidRDefault="00C00D5F" w:rsidP="00163961">
      <w:pPr>
        <w:jc w:val="both"/>
        <w:rPr>
          <w:rFonts w:ascii="Cambria" w:hAnsi="Cambria"/>
          <w:noProof/>
          <w:sz w:val="22"/>
          <w:szCs w:val="22"/>
          <w:lang w:val="sr-Latn-BA"/>
        </w:rPr>
      </w:pPr>
      <w:r w:rsidRPr="00ED23FA">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ED23FA" w:rsidRDefault="00664F2B" w:rsidP="00664F2B">
      <w:pPr>
        <w:ind w:firstLine="708"/>
        <w:jc w:val="both"/>
        <w:rPr>
          <w:rFonts w:ascii="Cambria" w:hAnsi="Cambria"/>
          <w:noProof/>
          <w:sz w:val="22"/>
          <w:szCs w:val="22"/>
          <w:lang w:val="sr-Latn-BA"/>
        </w:rPr>
      </w:pPr>
    </w:p>
    <w:p w14:paraId="6FCF180C" w14:textId="3F4118E6" w:rsidR="00C00D5F" w:rsidRPr="00ED23FA" w:rsidRDefault="00664F2B" w:rsidP="007F4E71">
      <w:pPr>
        <w:jc w:val="both"/>
        <w:rPr>
          <w:rFonts w:ascii="Cambria" w:hAnsi="Cambria"/>
          <w:noProof/>
          <w:sz w:val="22"/>
          <w:szCs w:val="22"/>
          <w:lang w:val="sr-Latn-BA"/>
        </w:rPr>
      </w:pPr>
      <w:r w:rsidRPr="00ED23FA">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tbl>
      <w:tblPr>
        <w:tblpPr w:leftFromText="180" w:rightFromText="180" w:vertAnchor="text" w:tblpY="1"/>
        <w:tblOverlap w:val="never"/>
        <w:tblW w:w="7220" w:type="dxa"/>
        <w:tblLook w:val="04A0" w:firstRow="1" w:lastRow="0" w:firstColumn="1" w:lastColumn="0" w:noHBand="0" w:noVBand="1"/>
      </w:tblPr>
      <w:tblGrid>
        <w:gridCol w:w="1833"/>
        <w:gridCol w:w="2410"/>
        <w:gridCol w:w="2977"/>
      </w:tblGrid>
      <w:tr w:rsidR="00C00D5F" w:rsidRPr="00ED23FA" w14:paraId="7BE075BF" w14:textId="77777777" w:rsidTr="00B67C49">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ED23FA" w:rsidRDefault="00C00D5F" w:rsidP="00B67C49">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ED23FA" w:rsidRDefault="00C00D5F" w:rsidP="00B67C49">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ED23FA" w:rsidRDefault="00C00D5F" w:rsidP="00B67C49">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w:t>
            </w:r>
          </w:p>
        </w:tc>
      </w:tr>
      <w:tr w:rsidR="00B67C49" w:rsidRPr="00ED23FA" w14:paraId="43494582" w14:textId="77777777" w:rsidTr="00B67C49">
        <w:trPr>
          <w:trHeight w:val="305"/>
        </w:trPr>
        <w:tc>
          <w:tcPr>
            <w:tcW w:w="1833" w:type="dxa"/>
            <w:tcBorders>
              <w:top w:val="nil"/>
              <w:left w:val="single" w:sz="8" w:space="0" w:color="auto"/>
              <w:bottom w:val="single" w:sz="4" w:space="0" w:color="auto"/>
              <w:right w:val="single" w:sz="4" w:space="0" w:color="auto"/>
            </w:tcBorders>
            <w:shd w:val="clear" w:color="auto" w:fill="auto"/>
            <w:noWrap/>
            <w:hideMark/>
          </w:tcPr>
          <w:p w14:paraId="6D120ADB" w14:textId="6C1D68F2" w:rsidR="00B67C49" w:rsidRPr="00ED23FA" w:rsidRDefault="00B67C49" w:rsidP="00B67C49">
            <w:pPr>
              <w:rPr>
                <w:rFonts w:ascii="Cambria" w:hAnsi="Cambria"/>
                <w:noProof/>
                <w:color w:val="000000"/>
                <w:sz w:val="22"/>
                <w:szCs w:val="22"/>
                <w:lang w:val="sr-Latn-BA" w:eastAsia="sr-Latn-BA"/>
              </w:rPr>
            </w:pPr>
            <w:proofErr w:type="spellStart"/>
            <w:r w:rsidRPr="007E3CA3">
              <w:t>visoki</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6837781B" w14:textId="7A7AC6C7" w:rsidR="00B67C49" w:rsidRPr="00ED23FA" w:rsidRDefault="00B67C49" w:rsidP="00B67C49">
            <w:pPr>
              <w:jc w:val="right"/>
              <w:rPr>
                <w:rFonts w:ascii="Cambria" w:hAnsi="Cambria"/>
                <w:noProof/>
                <w:color w:val="000000"/>
                <w:sz w:val="22"/>
                <w:szCs w:val="22"/>
                <w:lang w:val="sr-Latn-BA" w:eastAsia="sr-Latn-BA"/>
              </w:rPr>
            </w:pPr>
            <w:r w:rsidRPr="00763E39">
              <w:rPr>
                <w:color w:val="000000"/>
                <w:lang w:val="sr-Latn-BA" w:eastAsia="sr-Latn-BA"/>
              </w:rPr>
              <w:t>795.215</w:t>
            </w:r>
          </w:p>
        </w:tc>
        <w:tc>
          <w:tcPr>
            <w:tcW w:w="2977" w:type="dxa"/>
            <w:tcBorders>
              <w:top w:val="nil"/>
              <w:left w:val="nil"/>
              <w:bottom w:val="single" w:sz="4" w:space="0" w:color="auto"/>
              <w:right w:val="single" w:sz="8" w:space="0" w:color="auto"/>
            </w:tcBorders>
            <w:shd w:val="clear" w:color="auto" w:fill="auto"/>
            <w:noWrap/>
            <w:vAlign w:val="bottom"/>
            <w:hideMark/>
          </w:tcPr>
          <w:p w14:paraId="33078A16" w14:textId="5CE67FE3" w:rsidR="00B67C49" w:rsidRPr="00ED23FA" w:rsidRDefault="00B67C49" w:rsidP="00B67C49">
            <w:pPr>
              <w:jc w:val="right"/>
              <w:rPr>
                <w:rFonts w:ascii="Cambria" w:hAnsi="Cambria"/>
                <w:noProof/>
                <w:color w:val="000000"/>
                <w:sz w:val="22"/>
                <w:szCs w:val="22"/>
                <w:lang w:val="sr-Latn-BA" w:eastAsia="sr-Latn-BA"/>
              </w:rPr>
            </w:pPr>
            <w:r w:rsidRPr="00763E39">
              <w:rPr>
                <w:color w:val="000000"/>
                <w:lang w:val="sr-Latn-BA" w:eastAsia="sr-Latn-BA"/>
              </w:rPr>
              <w:t>13,12%</w:t>
            </w:r>
          </w:p>
        </w:tc>
      </w:tr>
      <w:tr w:rsidR="00B67C49" w:rsidRPr="00ED23FA" w14:paraId="1ABA51E6" w14:textId="77777777" w:rsidTr="00B67C49">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6CFC6C0F" w14:textId="542960D2" w:rsidR="00B67C49" w:rsidRPr="00ED23FA" w:rsidRDefault="00B67C49" w:rsidP="00B67C49">
            <w:pPr>
              <w:rPr>
                <w:rFonts w:ascii="Cambria" w:hAnsi="Cambria"/>
                <w:noProof/>
                <w:sz w:val="22"/>
                <w:szCs w:val="22"/>
                <w:lang w:val="sr-Latn-BA" w:eastAsia="sr-Latn-BA"/>
              </w:rPr>
            </w:pPr>
            <w:proofErr w:type="spellStart"/>
            <w:r w:rsidRPr="007E3CA3">
              <w:t>umjeren</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2ACA6181" w14:textId="4E067C8D" w:rsidR="00B67C49" w:rsidRPr="00ED23FA" w:rsidRDefault="00B67C49" w:rsidP="00B67C49">
            <w:pPr>
              <w:jc w:val="right"/>
              <w:rPr>
                <w:rFonts w:ascii="Cambria" w:hAnsi="Cambria"/>
                <w:noProof/>
                <w:sz w:val="22"/>
                <w:szCs w:val="22"/>
                <w:lang w:val="sr-Latn-BA" w:eastAsia="sr-Latn-BA"/>
              </w:rPr>
            </w:pPr>
            <w:r w:rsidRPr="00763E39">
              <w:rPr>
                <w:lang w:val="sr-Latn-BA" w:eastAsia="sr-Latn-BA"/>
              </w:rPr>
              <w:t>3.286.520</w:t>
            </w:r>
          </w:p>
        </w:tc>
        <w:tc>
          <w:tcPr>
            <w:tcW w:w="2977" w:type="dxa"/>
            <w:tcBorders>
              <w:top w:val="nil"/>
              <w:left w:val="nil"/>
              <w:bottom w:val="single" w:sz="4" w:space="0" w:color="auto"/>
              <w:right w:val="single" w:sz="8" w:space="0" w:color="auto"/>
            </w:tcBorders>
            <w:shd w:val="clear" w:color="auto" w:fill="auto"/>
            <w:noWrap/>
            <w:vAlign w:val="bottom"/>
            <w:hideMark/>
          </w:tcPr>
          <w:p w14:paraId="310B54A0" w14:textId="11FF25FB" w:rsidR="00B67C49" w:rsidRPr="00ED23FA" w:rsidRDefault="00B67C49" w:rsidP="00B67C49">
            <w:pPr>
              <w:jc w:val="right"/>
              <w:rPr>
                <w:rFonts w:ascii="Cambria" w:hAnsi="Cambria"/>
                <w:noProof/>
                <w:sz w:val="22"/>
                <w:szCs w:val="22"/>
                <w:lang w:val="sr-Latn-BA" w:eastAsia="sr-Latn-BA"/>
              </w:rPr>
            </w:pPr>
            <w:r w:rsidRPr="00763E39">
              <w:rPr>
                <w:lang w:val="sr-Latn-BA" w:eastAsia="sr-Latn-BA"/>
              </w:rPr>
              <w:t>54,24%</w:t>
            </w:r>
          </w:p>
        </w:tc>
      </w:tr>
      <w:tr w:rsidR="00B67C49" w:rsidRPr="00ED23FA" w14:paraId="75565B89" w14:textId="77777777" w:rsidTr="00B67C49">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78E49AE0" w14:textId="272DFC91" w:rsidR="00B67C49" w:rsidRPr="00ED23FA" w:rsidRDefault="00B67C49" w:rsidP="00B67C49">
            <w:pPr>
              <w:rPr>
                <w:rFonts w:ascii="Cambria" w:hAnsi="Cambria"/>
                <w:noProof/>
                <w:color w:val="000000"/>
                <w:sz w:val="22"/>
                <w:szCs w:val="22"/>
                <w:lang w:val="sr-Latn-BA" w:eastAsia="sr-Latn-BA"/>
              </w:rPr>
            </w:pPr>
            <w:proofErr w:type="spellStart"/>
            <w:r w:rsidRPr="007E3CA3">
              <w:t>nizak</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751677A9" w14:textId="0E4E6971" w:rsidR="00B67C49" w:rsidRPr="00ED23FA" w:rsidRDefault="00B67C49" w:rsidP="00B67C49">
            <w:pPr>
              <w:jc w:val="right"/>
              <w:rPr>
                <w:rFonts w:ascii="Cambria" w:hAnsi="Cambria"/>
                <w:noProof/>
                <w:color w:val="000000"/>
                <w:sz w:val="22"/>
                <w:szCs w:val="22"/>
                <w:lang w:val="sr-Latn-BA" w:eastAsia="sr-Latn-BA"/>
              </w:rPr>
            </w:pPr>
            <w:r w:rsidRPr="00763E39">
              <w:rPr>
                <w:color w:val="000000"/>
                <w:lang w:val="sr-Latn-BA" w:eastAsia="sr-Latn-BA"/>
              </w:rPr>
              <w:t>1.977.075</w:t>
            </w:r>
          </w:p>
        </w:tc>
        <w:tc>
          <w:tcPr>
            <w:tcW w:w="2977" w:type="dxa"/>
            <w:tcBorders>
              <w:top w:val="nil"/>
              <w:left w:val="nil"/>
              <w:bottom w:val="single" w:sz="4" w:space="0" w:color="auto"/>
              <w:right w:val="single" w:sz="8" w:space="0" w:color="auto"/>
            </w:tcBorders>
            <w:shd w:val="clear" w:color="auto" w:fill="auto"/>
            <w:noWrap/>
            <w:vAlign w:val="bottom"/>
            <w:hideMark/>
          </w:tcPr>
          <w:p w14:paraId="79F98AFF" w14:textId="51AA3058" w:rsidR="00B67C49" w:rsidRPr="00ED23FA" w:rsidRDefault="00B67C49" w:rsidP="00B67C49">
            <w:pPr>
              <w:jc w:val="right"/>
              <w:rPr>
                <w:rFonts w:ascii="Cambria" w:hAnsi="Cambria"/>
                <w:noProof/>
                <w:color w:val="000000"/>
                <w:sz w:val="22"/>
                <w:szCs w:val="22"/>
                <w:lang w:val="sr-Latn-BA" w:eastAsia="sr-Latn-BA"/>
              </w:rPr>
            </w:pPr>
            <w:r w:rsidRPr="00763E39">
              <w:rPr>
                <w:color w:val="000000"/>
                <w:lang w:val="sr-Latn-BA" w:eastAsia="sr-Latn-BA"/>
              </w:rPr>
              <w:t>32,63%</w:t>
            </w:r>
          </w:p>
        </w:tc>
      </w:tr>
      <w:tr w:rsidR="00B67C49" w:rsidRPr="00367242" w14:paraId="38225A9A" w14:textId="77777777" w:rsidTr="00B67C49">
        <w:trPr>
          <w:trHeight w:val="95"/>
        </w:trPr>
        <w:tc>
          <w:tcPr>
            <w:tcW w:w="1833" w:type="dxa"/>
            <w:tcBorders>
              <w:top w:val="nil"/>
              <w:left w:val="single" w:sz="8" w:space="0" w:color="auto"/>
              <w:bottom w:val="single" w:sz="8" w:space="0" w:color="auto"/>
              <w:right w:val="single" w:sz="4" w:space="0" w:color="auto"/>
            </w:tcBorders>
            <w:shd w:val="clear" w:color="auto" w:fill="auto"/>
            <w:noWrap/>
            <w:hideMark/>
          </w:tcPr>
          <w:p w14:paraId="0D027D33" w14:textId="3FA6D21E" w:rsidR="00B67C49" w:rsidRPr="00367242" w:rsidRDefault="00B67C49" w:rsidP="00B67C49">
            <w:pPr>
              <w:rPr>
                <w:rFonts w:ascii="Cambria" w:hAnsi="Cambria"/>
                <w:b/>
                <w:bCs/>
                <w:noProof/>
                <w:color w:val="000000"/>
                <w:sz w:val="22"/>
                <w:szCs w:val="22"/>
                <w:lang w:val="sr-Latn-BA" w:eastAsia="sr-Latn-BA"/>
              </w:rPr>
            </w:pPr>
            <w:proofErr w:type="spellStart"/>
            <w:r w:rsidRPr="00367242">
              <w:rPr>
                <w:b/>
                <w:bCs/>
              </w:rPr>
              <w:t>Ukupno</w:t>
            </w:r>
            <w:proofErr w:type="spellEnd"/>
          </w:p>
        </w:tc>
        <w:tc>
          <w:tcPr>
            <w:tcW w:w="2410" w:type="dxa"/>
            <w:tcBorders>
              <w:top w:val="nil"/>
              <w:left w:val="nil"/>
              <w:bottom w:val="single" w:sz="8" w:space="0" w:color="auto"/>
              <w:right w:val="single" w:sz="4" w:space="0" w:color="auto"/>
            </w:tcBorders>
            <w:shd w:val="clear" w:color="auto" w:fill="auto"/>
            <w:noWrap/>
            <w:vAlign w:val="bottom"/>
            <w:hideMark/>
          </w:tcPr>
          <w:p w14:paraId="3389CCB1" w14:textId="644354AA" w:rsidR="00B67C49" w:rsidRPr="00AD4A44" w:rsidRDefault="00B67C49" w:rsidP="00B67C49">
            <w:pPr>
              <w:jc w:val="right"/>
              <w:rPr>
                <w:rFonts w:ascii="Cambria" w:hAnsi="Cambria"/>
                <w:b/>
                <w:bCs/>
                <w:noProof/>
                <w:color w:val="000000"/>
                <w:sz w:val="22"/>
                <w:szCs w:val="22"/>
                <w:lang w:val="sr-Latn-BA" w:eastAsia="sr-Latn-BA"/>
              </w:rPr>
            </w:pPr>
            <w:r w:rsidRPr="00763E39">
              <w:rPr>
                <w:b/>
                <w:bCs/>
                <w:color w:val="000000"/>
                <w:lang w:val="sr-Latn-BA" w:eastAsia="sr-Latn-BA"/>
              </w:rPr>
              <w:t>6.058.810</w:t>
            </w:r>
          </w:p>
        </w:tc>
        <w:tc>
          <w:tcPr>
            <w:tcW w:w="2977" w:type="dxa"/>
            <w:tcBorders>
              <w:top w:val="nil"/>
              <w:left w:val="nil"/>
              <w:bottom w:val="single" w:sz="8" w:space="0" w:color="auto"/>
              <w:right w:val="single" w:sz="8" w:space="0" w:color="auto"/>
            </w:tcBorders>
            <w:shd w:val="clear" w:color="auto" w:fill="auto"/>
            <w:noWrap/>
            <w:vAlign w:val="bottom"/>
            <w:hideMark/>
          </w:tcPr>
          <w:p w14:paraId="487E80DC" w14:textId="43F206DB" w:rsidR="00B67C49" w:rsidRPr="00AD4A44" w:rsidRDefault="00B67C49" w:rsidP="00B67C49">
            <w:pPr>
              <w:jc w:val="right"/>
              <w:rPr>
                <w:rFonts w:ascii="Cambria" w:hAnsi="Cambria"/>
                <w:b/>
                <w:bCs/>
                <w:noProof/>
                <w:color w:val="000000"/>
                <w:sz w:val="22"/>
                <w:szCs w:val="22"/>
                <w:lang w:val="sr-Latn-BA" w:eastAsia="sr-Latn-BA"/>
              </w:rPr>
            </w:pPr>
            <w:r w:rsidRPr="00763E39">
              <w:rPr>
                <w:b/>
                <w:bCs/>
                <w:color w:val="000000"/>
                <w:lang w:val="sr-Latn-BA" w:eastAsia="sr-Latn-BA"/>
              </w:rPr>
              <w:t>100,00%</w:t>
            </w:r>
          </w:p>
        </w:tc>
      </w:tr>
    </w:tbl>
    <w:p w14:paraId="79E17D6B" w14:textId="77777777" w:rsidR="00412247" w:rsidRPr="00712402" w:rsidRDefault="00B67C49" w:rsidP="00412247">
      <w:pPr>
        <w:jc w:val="both"/>
        <w:rPr>
          <w:lang w:val="bs-Latn-BA"/>
        </w:rPr>
      </w:pPr>
      <w:r>
        <w:rPr>
          <w:rFonts w:ascii="Cambria" w:hAnsi="Cambria"/>
          <w:b/>
          <w:bCs/>
          <w:noProof/>
          <w:sz w:val="22"/>
          <w:szCs w:val="22"/>
          <w:lang w:val="sr-Latn-BA"/>
        </w:rPr>
        <w:br w:type="textWrapping" w:clear="all"/>
      </w:r>
      <w:r w:rsidR="00412247" w:rsidRPr="00712402">
        <w:rPr>
          <w:lang w:val="bs-Latn-BA"/>
        </w:rPr>
        <w:t xml:space="preserve">Kako je </w:t>
      </w:r>
      <w:r w:rsidR="00412247">
        <w:rPr>
          <w:lang w:val="bs-Latn-BA"/>
        </w:rPr>
        <w:t xml:space="preserve">umjeren </w:t>
      </w:r>
      <w:r w:rsidR="00412247" w:rsidRPr="00712402">
        <w:rPr>
          <w:lang w:val="bs-Latn-BA"/>
        </w:rPr>
        <w:t xml:space="preserve">nivo rizika dominantan, u skladu sa internim procedurama rizik promjene cijena finansijskih instrumenata je </w:t>
      </w:r>
      <w:r w:rsidR="00412247">
        <w:rPr>
          <w:lang w:val="bs-Latn-BA"/>
        </w:rPr>
        <w:t>umjeren</w:t>
      </w:r>
      <w:r w:rsidR="00412247" w:rsidRPr="00712402">
        <w:rPr>
          <w:lang w:val="bs-Latn-BA"/>
        </w:rPr>
        <w:t>.</w:t>
      </w:r>
    </w:p>
    <w:p w14:paraId="5A956E40" w14:textId="77777777" w:rsidR="00412247" w:rsidRPr="00712402" w:rsidRDefault="00412247" w:rsidP="00412247">
      <w:pPr>
        <w:jc w:val="both"/>
      </w:pPr>
      <w:proofErr w:type="spellStart"/>
      <w:r w:rsidRPr="00712402">
        <w:t>Preporuka</w:t>
      </w:r>
      <w:proofErr w:type="spellEnd"/>
      <w:r w:rsidRPr="00712402">
        <w:t xml:space="preserve">: </w:t>
      </w:r>
      <w:proofErr w:type="spellStart"/>
      <w:r w:rsidRPr="00712402">
        <w:t>Posebnu</w:t>
      </w:r>
      <w:proofErr w:type="spellEnd"/>
      <w:r w:rsidRPr="00712402">
        <w:t xml:space="preserve"> </w:t>
      </w:r>
      <w:proofErr w:type="spellStart"/>
      <w:r w:rsidRPr="00712402">
        <w:t>pažnju</w:t>
      </w:r>
      <w:proofErr w:type="spellEnd"/>
      <w:r w:rsidRPr="00712402">
        <w:t xml:space="preserve"> je </w:t>
      </w:r>
      <w:proofErr w:type="spellStart"/>
      <w:r w:rsidRPr="00712402">
        <w:t>potrebno</w:t>
      </w:r>
      <w:proofErr w:type="spellEnd"/>
      <w:r w:rsidRPr="00712402">
        <w:t xml:space="preserve"> </w:t>
      </w:r>
      <w:proofErr w:type="spellStart"/>
      <w:r w:rsidRPr="00712402">
        <w:t>obratiti</w:t>
      </w:r>
      <w:proofErr w:type="spellEnd"/>
      <w:r w:rsidRPr="00712402">
        <w:t xml:space="preserve"> </w:t>
      </w:r>
      <w:proofErr w:type="spellStart"/>
      <w:r w:rsidRPr="00712402">
        <w:t>na</w:t>
      </w:r>
      <w:proofErr w:type="spellEnd"/>
      <w:r w:rsidRPr="00712402">
        <w:t xml:space="preserve"> </w:t>
      </w:r>
      <w:proofErr w:type="spellStart"/>
      <w:r w:rsidRPr="00712402">
        <w:t>emiten</w:t>
      </w:r>
      <w:r>
        <w:t>te</w:t>
      </w:r>
      <w:proofErr w:type="spellEnd"/>
      <w:r>
        <w:t xml:space="preserve"> </w:t>
      </w:r>
      <w:proofErr w:type="spellStart"/>
      <w:r w:rsidRPr="00EC66B4">
        <w:t>Elektro</w:t>
      </w:r>
      <w:proofErr w:type="spellEnd"/>
      <w:r w:rsidRPr="00EC66B4">
        <w:t xml:space="preserve"> Doboj </w:t>
      </w:r>
      <w:proofErr w:type="spellStart"/>
      <w:r w:rsidRPr="00EC66B4">
        <w:t>a.d.</w:t>
      </w:r>
      <w:proofErr w:type="spellEnd"/>
      <w:r w:rsidRPr="00EC66B4">
        <w:t xml:space="preserve"> Doboj</w:t>
      </w:r>
      <w:r>
        <w:t xml:space="preserve"> </w:t>
      </w:r>
      <w:proofErr w:type="spellStart"/>
      <w:proofErr w:type="gramStart"/>
      <w:r>
        <w:t>i</w:t>
      </w:r>
      <w:proofErr w:type="spellEnd"/>
      <w:r>
        <w:t xml:space="preserve"> </w:t>
      </w:r>
      <w:r w:rsidRPr="005775E5">
        <w:t xml:space="preserve"> </w:t>
      </w:r>
      <w:proofErr w:type="spellStart"/>
      <w:r w:rsidRPr="00EC66B4">
        <w:t>Rafinerija</w:t>
      </w:r>
      <w:proofErr w:type="spellEnd"/>
      <w:proofErr w:type="gramEnd"/>
      <w:r w:rsidRPr="00EC66B4">
        <w:t xml:space="preserve"> </w:t>
      </w:r>
      <w:proofErr w:type="spellStart"/>
      <w:r w:rsidRPr="00EC66B4">
        <w:t>ulja</w:t>
      </w:r>
      <w:proofErr w:type="spellEnd"/>
      <w:r w:rsidRPr="00EC66B4">
        <w:t xml:space="preserve"> </w:t>
      </w:r>
      <w:proofErr w:type="spellStart"/>
      <w:r w:rsidRPr="00EC66B4">
        <w:t>a.d.</w:t>
      </w:r>
      <w:proofErr w:type="spellEnd"/>
      <w:r w:rsidRPr="00EC66B4">
        <w:t xml:space="preserve"> </w:t>
      </w:r>
      <w:proofErr w:type="spellStart"/>
      <w:r w:rsidRPr="00EC66B4">
        <w:t>Modriča</w:t>
      </w:r>
      <w:proofErr w:type="spellEnd"/>
      <w:r w:rsidRPr="00EC66B4">
        <w:t xml:space="preserve"> </w:t>
      </w:r>
      <w:proofErr w:type="spellStart"/>
      <w:r w:rsidRPr="00712402">
        <w:t>kod</w:t>
      </w:r>
      <w:proofErr w:type="spellEnd"/>
      <w:r w:rsidRPr="00712402">
        <w:t xml:space="preserve"> </w:t>
      </w:r>
      <w:proofErr w:type="spellStart"/>
      <w:r w:rsidRPr="00712402">
        <w:t>koj</w:t>
      </w:r>
      <w:r>
        <w:t>ih</w:t>
      </w:r>
      <w:proofErr w:type="spellEnd"/>
      <w:r w:rsidRPr="00712402">
        <w:t xml:space="preserve"> je </w:t>
      </w:r>
      <w:proofErr w:type="spellStart"/>
      <w:r w:rsidRPr="00712402">
        <w:t>tržišna</w:t>
      </w:r>
      <w:proofErr w:type="spellEnd"/>
      <w:r w:rsidRPr="00712402">
        <w:t xml:space="preserve"> </w:t>
      </w:r>
      <w:proofErr w:type="spellStart"/>
      <w:r w:rsidRPr="00712402">
        <w:t>cijena</w:t>
      </w:r>
      <w:proofErr w:type="spellEnd"/>
      <w:r w:rsidRPr="00712402">
        <w:t xml:space="preserve"> </w:t>
      </w:r>
      <w:proofErr w:type="spellStart"/>
      <w:r w:rsidRPr="00712402">
        <w:t>značajno</w:t>
      </w:r>
      <w:proofErr w:type="spellEnd"/>
      <w:r w:rsidRPr="00712402">
        <w:t xml:space="preserve"> </w:t>
      </w:r>
      <w:proofErr w:type="spellStart"/>
      <w:r w:rsidRPr="00712402">
        <w:t>odstupala</w:t>
      </w:r>
      <w:proofErr w:type="spellEnd"/>
      <w:r w:rsidRPr="00712402">
        <w:t xml:space="preserve"> u </w:t>
      </w:r>
      <w:proofErr w:type="spellStart"/>
      <w:r w:rsidRPr="00712402">
        <w:t>odnosu</w:t>
      </w:r>
      <w:proofErr w:type="spellEnd"/>
      <w:r w:rsidRPr="00712402">
        <w:t xml:space="preserve"> </w:t>
      </w:r>
      <w:proofErr w:type="spellStart"/>
      <w:r w:rsidRPr="00712402">
        <w:t>na</w:t>
      </w:r>
      <w:proofErr w:type="spellEnd"/>
      <w:r w:rsidRPr="00712402">
        <w:t xml:space="preserve"> </w:t>
      </w:r>
      <w:proofErr w:type="spellStart"/>
      <w:r w:rsidRPr="00712402">
        <w:t>posmatrani</w:t>
      </w:r>
      <w:proofErr w:type="spellEnd"/>
      <w:r w:rsidRPr="00712402">
        <w:t xml:space="preserve"> period </w:t>
      </w:r>
      <w:proofErr w:type="spellStart"/>
      <w:r w:rsidRPr="00712402">
        <w:t>od</w:t>
      </w:r>
      <w:proofErr w:type="spellEnd"/>
      <w:r w:rsidRPr="00712402">
        <w:t xml:space="preserve"> 3</w:t>
      </w:r>
      <w:r>
        <w:t>0</w:t>
      </w:r>
      <w:r w:rsidRPr="00712402">
        <w:t>.</w:t>
      </w:r>
      <w:r>
        <w:t>06</w:t>
      </w:r>
      <w:r w:rsidRPr="00712402">
        <w:t>.20</w:t>
      </w:r>
      <w:r>
        <w:t>24</w:t>
      </w:r>
      <w:r w:rsidRPr="00712402">
        <w:t xml:space="preserve">. </w:t>
      </w:r>
      <w:proofErr w:type="spellStart"/>
      <w:r w:rsidRPr="00712402">
        <w:t>godine</w:t>
      </w:r>
      <w:proofErr w:type="spellEnd"/>
      <w:r w:rsidRPr="00712402">
        <w:t>.</w:t>
      </w:r>
    </w:p>
    <w:p w14:paraId="475C5695" w14:textId="5F2DC4BD" w:rsidR="00AD4A44" w:rsidRDefault="00AD4A44" w:rsidP="00412247">
      <w:pPr>
        <w:jc w:val="center"/>
        <w:rPr>
          <w:lang w:val="bs-Latn-BA"/>
        </w:rPr>
      </w:pPr>
    </w:p>
    <w:p w14:paraId="2528F437" w14:textId="6EB1A9A0" w:rsidR="00664F2B" w:rsidRPr="00ED23FA" w:rsidRDefault="00664F2B" w:rsidP="00367242">
      <w:pPr>
        <w:rPr>
          <w:rFonts w:ascii="Cambria" w:hAnsi="Cambria"/>
          <w:b/>
          <w:bCs/>
          <w:noProof/>
          <w:sz w:val="22"/>
          <w:szCs w:val="22"/>
          <w:lang w:val="sr-Latn-BA"/>
        </w:rPr>
      </w:pPr>
      <w:r w:rsidRPr="00ED23FA">
        <w:rPr>
          <w:rFonts w:ascii="Cambria" w:hAnsi="Cambria"/>
          <w:b/>
          <w:bCs/>
          <w:noProof/>
          <w:sz w:val="22"/>
          <w:szCs w:val="22"/>
          <w:lang w:val="sr-Latn-BA"/>
        </w:rPr>
        <w:t>Valutni rizik</w:t>
      </w:r>
    </w:p>
    <w:p w14:paraId="54F3863B" w14:textId="77777777" w:rsidR="00072176" w:rsidRPr="00ED23FA" w:rsidRDefault="00072176" w:rsidP="00072176">
      <w:pPr>
        <w:jc w:val="both"/>
        <w:rPr>
          <w:rFonts w:ascii="Cambria" w:hAnsi="Cambria"/>
          <w:noProof/>
          <w:sz w:val="22"/>
          <w:szCs w:val="22"/>
          <w:lang w:val="sr-Latn-BA"/>
        </w:rPr>
      </w:pPr>
      <w:bookmarkStart w:id="26" w:name="_Hlk61874431"/>
      <w:r w:rsidRPr="00ED23FA">
        <w:rPr>
          <w:rFonts w:ascii="Cambria" w:hAnsi="Cambria"/>
          <w:noProof/>
          <w:sz w:val="22"/>
          <w:szCs w:val="22"/>
          <w:lang w:val="sr-Latn-BA"/>
        </w:rPr>
        <w:t>U skladu sa internom klasifikacijom nivoa rizika, valutni rizik klasifikovan je u tri grupe:</w:t>
      </w:r>
    </w:p>
    <w:p w14:paraId="1D7169B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Visok nivo rizika -ukoliko se više od 40% imovine fonda nalazi u stranoj valuti</w:t>
      </w:r>
    </w:p>
    <w:p w14:paraId="22F0602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Umjeren nivo rizika -ukoliko se 20-40% imovine fonda nalazi u stranoj valuti</w:t>
      </w:r>
    </w:p>
    <w:p w14:paraId="7AA487A2" w14:textId="77777777" w:rsidR="00072176" w:rsidRPr="00ED23FA" w:rsidRDefault="00072176" w:rsidP="00072176">
      <w:pPr>
        <w:pStyle w:val="ListParagraph"/>
        <w:numPr>
          <w:ilvl w:val="0"/>
          <w:numId w:val="25"/>
        </w:numPr>
        <w:spacing w:after="200" w:line="276" w:lineRule="auto"/>
        <w:jc w:val="both"/>
        <w:rPr>
          <w:rFonts w:ascii="Cambria" w:hAnsi="Cambria"/>
          <w:noProof/>
          <w:sz w:val="22"/>
          <w:szCs w:val="22"/>
          <w:lang w:val="sr-Latn-BA"/>
        </w:rPr>
      </w:pPr>
      <w:r w:rsidRPr="00ED23FA">
        <w:rPr>
          <w:rFonts w:ascii="Cambria" w:hAnsi="Cambria"/>
          <w:noProof/>
          <w:sz w:val="22"/>
          <w:szCs w:val="22"/>
          <w:lang w:val="sr-Latn-BA"/>
        </w:rPr>
        <w:t>Nizak nivo rizika -ukoliko se manje od 20% imovine fonda nalazi u stranoj valuti</w:t>
      </w:r>
    </w:p>
    <w:p w14:paraId="3865C4AD" w14:textId="4D3D2F01" w:rsidR="00072176" w:rsidRPr="00ED23FA" w:rsidRDefault="00072176" w:rsidP="00072176">
      <w:pPr>
        <w:jc w:val="both"/>
        <w:rPr>
          <w:rFonts w:ascii="Cambria" w:hAnsi="Cambria"/>
          <w:noProof/>
          <w:sz w:val="22"/>
          <w:szCs w:val="22"/>
          <w:lang w:val="sr-Latn-BA"/>
        </w:rPr>
      </w:pPr>
      <w:r w:rsidRPr="00ED23FA">
        <w:rPr>
          <w:rFonts w:ascii="Cambria" w:hAnsi="Cambria"/>
          <w:noProof/>
          <w:sz w:val="22"/>
          <w:szCs w:val="22"/>
          <w:lang w:val="sr-Latn-BA"/>
        </w:rPr>
        <w:t>U tabeli prikazani su pregled imovine fonda po valutama</w:t>
      </w:r>
    </w:p>
    <w:tbl>
      <w:tblPr>
        <w:tblW w:w="7220" w:type="dxa"/>
        <w:tblLook w:val="04A0" w:firstRow="1" w:lastRow="0" w:firstColumn="1" w:lastColumn="0" w:noHBand="0" w:noVBand="1"/>
      </w:tblPr>
      <w:tblGrid>
        <w:gridCol w:w="2684"/>
        <w:gridCol w:w="2126"/>
        <w:gridCol w:w="2410"/>
      </w:tblGrid>
      <w:tr w:rsidR="00072176" w:rsidRPr="00ED23FA"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 </w:t>
            </w:r>
          </w:p>
        </w:tc>
      </w:tr>
      <w:tr w:rsidR="00FC3B1C" w:rsidRPr="00ED23FA" w14:paraId="1CAADEE4" w14:textId="77777777" w:rsidTr="009864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7A5A934A" w14:textId="158AB75F" w:rsidR="00FC3B1C" w:rsidRPr="00ED23FA" w:rsidRDefault="00FC3B1C" w:rsidP="00FC3B1C">
            <w:pPr>
              <w:rPr>
                <w:rFonts w:ascii="Cambria" w:hAnsi="Cambria"/>
                <w:noProof/>
                <w:color w:val="000000"/>
                <w:sz w:val="22"/>
                <w:szCs w:val="22"/>
                <w:lang w:val="sr-Latn-BA" w:eastAsia="sr-Latn-BA"/>
              </w:rPr>
            </w:pPr>
            <w:r w:rsidRPr="0004772A">
              <w:t>u KM</w:t>
            </w:r>
          </w:p>
        </w:tc>
        <w:tc>
          <w:tcPr>
            <w:tcW w:w="2126" w:type="dxa"/>
            <w:tcBorders>
              <w:top w:val="nil"/>
              <w:left w:val="nil"/>
              <w:bottom w:val="single" w:sz="8" w:space="0" w:color="auto"/>
              <w:right w:val="single" w:sz="8" w:space="0" w:color="auto"/>
            </w:tcBorders>
            <w:shd w:val="clear" w:color="auto" w:fill="auto"/>
            <w:noWrap/>
            <w:vAlign w:val="center"/>
            <w:hideMark/>
          </w:tcPr>
          <w:p w14:paraId="7FD1844D" w14:textId="248BEBAE" w:rsidR="00FC3B1C" w:rsidRPr="00ED23FA" w:rsidRDefault="00FC3B1C" w:rsidP="00FC3B1C">
            <w:pPr>
              <w:jc w:val="right"/>
              <w:rPr>
                <w:rFonts w:ascii="Cambria" w:hAnsi="Cambria"/>
                <w:noProof/>
                <w:color w:val="000000"/>
                <w:sz w:val="22"/>
                <w:szCs w:val="22"/>
                <w:lang w:val="sr-Latn-BA" w:eastAsia="sr-Latn-BA"/>
              </w:rPr>
            </w:pPr>
            <w:r w:rsidRPr="007B2E33">
              <w:rPr>
                <w:color w:val="000000"/>
                <w:lang w:val="sr-Latn-BA" w:eastAsia="sr-Latn-BA"/>
              </w:rPr>
              <w:t>6.562.751</w:t>
            </w:r>
          </w:p>
        </w:tc>
        <w:tc>
          <w:tcPr>
            <w:tcW w:w="2410" w:type="dxa"/>
            <w:tcBorders>
              <w:top w:val="nil"/>
              <w:left w:val="nil"/>
              <w:bottom w:val="single" w:sz="8" w:space="0" w:color="auto"/>
              <w:right w:val="single" w:sz="8" w:space="0" w:color="auto"/>
            </w:tcBorders>
            <w:shd w:val="clear" w:color="auto" w:fill="auto"/>
            <w:noWrap/>
            <w:vAlign w:val="center"/>
            <w:hideMark/>
          </w:tcPr>
          <w:p w14:paraId="23CD7915" w14:textId="10CCF6A4" w:rsidR="00FC3B1C" w:rsidRPr="00ED23FA" w:rsidRDefault="00FC3B1C" w:rsidP="00FC3B1C">
            <w:pPr>
              <w:jc w:val="right"/>
              <w:rPr>
                <w:rFonts w:ascii="Cambria" w:hAnsi="Cambria"/>
                <w:noProof/>
                <w:color w:val="000000"/>
                <w:sz w:val="22"/>
                <w:szCs w:val="22"/>
                <w:lang w:val="sr-Latn-BA" w:eastAsia="sr-Latn-BA"/>
              </w:rPr>
            </w:pPr>
            <w:r w:rsidRPr="00524917">
              <w:rPr>
                <w:color w:val="000000"/>
                <w:lang w:val="sr-Latn-BA" w:eastAsia="sr-Latn-BA"/>
              </w:rPr>
              <w:t>99,99%</w:t>
            </w:r>
          </w:p>
        </w:tc>
      </w:tr>
      <w:tr w:rsidR="00FC3B1C" w:rsidRPr="00ED23FA" w14:paraId="664FE265" w14:textId="77777777" w:rsidTr="009864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62359682" w14:textId="10BF5E92" w:rsidR="00FC3B1C" w:rsidRPr="00ED23FA" w:rsidRDefault="00FC3B1C" w:rsidP="00FC3B1C">
            <w:pPr>
              <w:rPr>
                <w:rFonts w:ascii="Cambria" w:hAnsi="Cambria"/>
                <w:noProof/>
                <w:color w:val="000000"/>
                <w:sz w:val="22"/>
                <w:szCs w:val="22"/>
                <w:lang w:val="sr-Latn-BA" w:eastAsia="sr-Latn-BA"/>
              </w:rPr>
            </w:pPr>
            <w:proofErr w:type="spellStart"/>
            <w:r w:rsidRPr="0004772A">
              <w:t>Ostale</w:t>
            </w:r>
            <w:proofErr w:type="spellEnd"/>
            <w:r w:rsidRPr="0004772A">
              <w:t xml:space="preserve"> </w:t>
            </w:r>
            <w:proofErr w:type="spellStart"/>
            <w:r w:rsidRPr="0004772A">
              <w:t>valute</w:t>
            </w:r>
            <w:proofErr w:type="spellEnd"/>
            <w:r w:rsidRPr="0004772A">
              <w:t xml:space="preserve"> </w:t>
            </w:r>
            <w:proofErr w:type="gramStart"/>
            <w:r w:rsidRPr="0004772A">
              <w:t>( EUR</w:t>
            </w:r>
            <w:proofErr w:type="gramEnd"/>
            <w:r w:rsidRPr="0004772A">
              <w:t xml:space="preserve"> )</w:t>
            </w:r>
          </w:p>
        </w:tc>
        <w:tc>
          <w:tcPr>
            <w:tcW w:w="2126" w:type="dxa"/>
            <w:tcBorders>
              <w:top w:val="nil"/>
              <w:left w:val="nil"/>
              <w:bottom w:val="single" w:sz="8" w:space="0" w:color="auto"/>
              <w:right w:val="single" w:sz="8" w:space="0" w:color="auto"/>
            </w:tcBorders>
            <w:shd w:val="clear" w:color="auto" w:fill="auto"/>
            <w:noWrap/>
            <w:vAlign w:val="center"/>
            <w:hideMark/>
          </w:tcPr>
          <w:p w14:paraId="3CDBF695" w14:textId="0F5AFCFB" w:rsidR="00FC3B1C" w:rsidRPr="00ED23FA" w:rsidRDefault="00FC3B1C" w:rsidP="00FC3B1C">
            <w:pPr>
              <w:jc w:val="right"/>
              <w:rPr>
                <w:rFonts w:ascii="Cambria" w:hAnsi="Cambria"/>
                <w:noProof/>
                <w:color w:val="000000"/>
                <w:sz w:val="22"/>
                <w:szCs w:val="22"/>
                <w:lang w:val="sr-Latn-BA" w:eastAsia="sr-Latn-BA"/>
              </w:rPr>
            </w:pPr>
            <w:r w:rsidRPr="00524917">
              <w:rPr>
                <w:color w:val="000000"/>
                <w:lang w:val="sr-Latn-BA" w:eastAsia="sr-Latn-BA"/>
              </w:rPr>
              <w:t>864</w:t>
            </w:r>
          </w:p>
        </w:tc>
        <w:tc>
          <w:tcPr>
            <w:tcW w:w="2410" w:type="dxa"/>
            <w:tcBorders>
              <w:top w:val="nil"/>
              <w:left w:val="nil"/>
              <w:bottom w:val="single" w:sz="8" w:space="0" w:color="auto"/>
              <w:right w:val="single" w:sz="8" w:space="0" w:color="auto"/>
            </w:tcBorders>
            <w:shd w:val="clear" w:color="auto" w:fill="auto"/>
            <w:noWrap/>
            <w:vAlign w:val="center"/>
            <w:hideMark/>
          </w:tcPr>
          <w:p w14:paraId="5D8F878C" w14:textId="3535F522" w:rsidR="00FC3B1C" w:rsidRPr="00ED23FA" w:rsidRDefault="00FC3B1C" w:rsidP="00FC3B1C">
            <w:pPr>
              <w:jc w:val="right"/>
              <w:rPr>
                <w:rFonts w:ascii="Cambria" w:hAnsi="Cambria"/>
                <w:noProof/>
                <w:color w:val="000000"/>
                <w:sz w:val="22"/>
                <w:szCs w:val="22"/>
                <w:lang w:val="sr-Latn-BA" w:eastAsia="sr-Latn-BA"/>
              </w:rPr>
            </w:pPr>
            <w:r w:rsidRPr="00524917">
              <w:rPr>
                <w:color w:val="000000"/>
                <w:lang w:val="sr-Latn-BA" w:eastAsia="sr-Latn-BA"/>
              </w:rPr>
              <w:t>0,01%</w:t>
            </w:r>
          </w:p>
        </w:tc>
      </w:tr>
      <w:tr w:rsidR="00FC3B1C" w:rsidRPr="00442196" w14:paraId="51093E1E" w14:textId="77777777" w:rsidTr="009864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21AD230C" w14:textId="79DE1740" w:rsidR="00FC3B1C" w:rsidRPr="00367242" w:rsidRDefault="00FC3B1C" w:rsidP="00FC3B1C">
            <w:pPr>
              <w:rPr>
                <w:rFonts w:ascii="Cambria" w:hAnsi="Cambria"/>
                <w:b/>
                <w:bCs/>
                <w:noProof/>
                <w:color w:val="000000"/>
                <w:sz w:val="22"/>
                <w:szCs w:val="22"/>
                <w:lang w:val="sr-Latn-BA" w:eastAsia="sr-Latn-BA"/>
              </w:rPr>
            </w:pPr>
            <w:proofErr w:type="spellStart"/>
            <w:r w:rsidRPr="00367242">
              <w:rPr>
                <w:b/>
                <w:bCs/>
              </w:rPr>
              <w:t>Ukupna</w:t>
            </w:r>
            <w:proofErr w:type="spellEnd"/>
            <w:r w:rsidRPr="00367242">
              <w:rPr>
                <w:b/>
                <w:bCs/>
              </w:rPr>
              <w:t xml:space="preserve"> </w:t>
            </w:r>
            <w:proofErr w:type="spellStart"/>
            <w:r w:rsidRPr="00367242">
              <w:rPr>
                <w:b/>
                <w:bCs/>
              </w:rPr>
              <w:t>imovina</w:t>
            </w:r>
            <w:proofErr w:type="spellEnd"/>
            <w:r w:rsidRPr="00367242">
              <w:rPr>
                <w:b/>
                <w:bCs/>
              </w:rPr>
              <w:t xml:space="preserve"> </w:t>
            </w:r>
            <w:proofErr w:type="spellStart"/>
            <w:r w:rsidRPr="00367242">
              <w:rPr>
                <w:b/>
                <w:bCs/>
              </w:rPr>
              <w:t>fonda</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14:paraId="0A263B7C" w14:textId="01873EB4" w:rsidR="00FC3B1C" w:rsidRPr="00AD4A44" w:rsidRDefault="00FC3B1C" w:rsidP="00FC3B1C">
            <w:pPr>
              <w:jc w:val="right"/>
              <w:rPr>
                <w:rFonts w:ascii="Cambria" w:hAnsi="Cambria"/>
                <w:b/>
                <w:bCs/>
                <w:noProof/>
                <w:color w:val="000000"/>
                <w:sz w:val="22"/>
                <w:szCs w:val="22"/>
                <w:lang w:val="sr-Latn-BA" w:eastAsia="sr-Latn-BA"/>
              </w:rPr>
            </w:pPr>
            <w:r w:rsidRPr="00524917">
              <w:rPr>
                <w:b/>
                <w:bCs/>
                <w:color w:val="000000"/>
                <w:lang w:val="sr-Latn-BA" w:eastAsia="sr-Latn-BA"/>
              </w:rPr>
              <w:t>6.563.615</w:t>
            </w:r>
          </w:p>
        </w:tc>
        <w:tc>
          <w:tcPr>
            <w:tcW w:w="2410" w:type="dxa"/>
            <w:tcBorders>
              <w:top w:val="nil"/>
              <w:left w:val="nil"/>
              <w:bottom w:val="single" w:sz="8" w:space="0" w:color="auto"/>
              <w:right w:val="single" w:sz="8" w:space="0" w:color="auto"/>
            </w:tcBorders>
            <w:shd w:val="clear" w:color="auto" w:fill="auto"/>
            <w:noWrap/>
            <w:vAlign w:val="center"/>
            <w:hideMark/>
          </w:tcPr>
          <w:p w14:paraId="77C4B965" w14:textId="28F5CD41" w:rsidR="00FC3B1C" w:rsidRPr="00AD4A44" w:rsidRDefault="00FC3B1C" w:rsidP="00FC3B1C">
            <w:pPr>
              <w:jc w:val="right"/>
              <w:rPr>
                <w:rFonts w:ascii="Cambria" w:hAnsi="Cambria"/>
                <w:b/>
                <w:bCs/>
                <w:noProof/>
                <w:color w:val="000000"/>
                <w:sz w:val="22"/>
                <w:szCs w:val="22"/>
                <w:lang w:val="sr-Latn-BA" w:eastAsia="sr-Latn-BA"/>
              </w:rPr>
            </w:pPr>
            <w:r w:rsidRPr="00524917">
              <w:rPr>
                <w:b/>
                <w:bCs/>
                <w:color w:val="000000"/>
                <w:lang w:val="sr-Latn-BA" w:eastAsia="sr-Latn-BA"/>
              </w:rPr>
              <w:t>100,00%</w:t>
            </w:r>
          </w:p>
        </w:tc>
      </w:tr>
    </w:tbl>
    <w:p w14:paraId="3A4E3628" w14:textId="77777777" w:rsidR="00072176" w:rsidRPr="00442196" w:rsidRDefault="00072176" w:rsidP="00072176">
      <w:pPr>
        <w:jc w:val="both"/>
        <w:rPr>
          <w:rFonts w:ascii="Cambria" w:hAnsi="Cambria"/>
          <w:b/>
          <w:bCs/>
          <w:noProof/>
          <w:sz w:val="22"/>
          <w:szCs w:val="22"/>
          <w:lang w:val="sr-Latn-BA"/>
        </w:rPr>
      </w:pPr>
    </w:p>
    <w:p w14:paraId="3FE8FD98" w14:textId="3024F3F6" w:rsidR="00367242" w:rsidRDefault="00AD4A44" w:rsidP="00442196">
      <w:pPr>
        <w:jc w:val="both"/>
        <w:rPr>
          <w:rFonts w:ascii="Cambria" w:hAnsi="Cambria"/>
          <w:noProof/>
          <w:sz w:val="22"/>
          <w:szCs w:val="22"/>
          <w:lang w:val="sr-Latn-BA"/>
        </w:rPr>
      </w:pPr>
      <w:r w:rsidRPr="00AD4A44">
        <w:rPr>
          <w:rFonts w:ascii="Cambria" w:hAnsi="Cambria"/>
          <w:noProof/>
          <w:sz w:val="22"/>
          <w:szCs w:val="22"/>
          <w:lang w:val="sr-Latn-BA"/>
        </w:rPr>
        <w:lastRenderedPageBreak/>
        <w:t>U skladu sa internom klasifikacijom nivoa rizika, nivo valutnog rizika je nizak.</w:t>
      </w:r>
    </w:p>
    <w:p w14:paraId="1934FFCE" w14:textId="77777777" w:rsidR="00B96F4D" w:rsidRPr="00ED23FA" w:rsidRDefault="00B96F4D" w:rsidP="00442196">
      <w:pPr>
        <w:jc w:val="both"/>
        <w:rPr>
          <w:rFonts w:ascii="Cambria" w:hAnsi="Cambria"/>
          <w:noProof/>
          <w:sz w:val="22"/>
          <w:szCs w:val="22"/>
          <w:lang w:val="sr-Latn-BA"/>
        </w:rPr>
      </w:pPr>
    </w:p>
    <w:bookmarkEnd w:id="26"/>
    <w:p w14:paraId="538DAF64" w14:textId="4E146114"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Kreditni rizik</w:t>
      </w:r>
    </w:p>
    <w:p w14:paraId="3B00676F" w14:textId="77777777" w:rsidR="00001403" w:rsidRPr="00ED23FA" w:rsidRDefault="00001403" w:rsidP="00664F2B">
      <w:pPr>
        <w:rPr>
          <w:rFonts w:ascii="Cambria" w:hAnsi="Cambria"/>
          <w:b/>
          <w:bCs/>
          <w:noProof/>
          <w:sz w:val="22"/>
          <w:szCs w:val="22"/>
          <w:lang w:val="sr-Latn-BA"/>
        </w:rPr>
      </w:pPr>
    </w:p>
    <w:p w14:paraId="6B55CC18"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583AD6D"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Visok nivo rizika -ukoliko  više od 30% potraživanja fonda nije naplaćeno u unaprijed utvrđenom roku </w:t>
      </w:r>
    </w:p>
    <w:p w14:paraId="37A1206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Umjeren nivo rizika -ukoliko  5- 30% potraživanja fonda nije naplaćeno u unaprijed utvrđenom roku </w:t>
      </w:r>
    </w:p>
    <w:p w14:paraId="3B6558F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Nizak nivo rizika -ukoliko  manje od 5 % potraživanja fonda nije naplaćeno u unaprijed utvrđenom roku </w:t>
      </w:r>
    </w:p>
    <w:p w14:paraId="3A1339D3" w14:textId="77777777" w:rsidR="00367242" w:rsidRPr="00367242" w:rsidRDefault="00367242" w:rsidP="00367242">
      <w:pPr>
        <w:jc w:val="both"/>
        <w:rPr>
          <w:rFonts w:ascii="Cambria" w:hAnsi="Cambria"/>
          <w:noProof/>
          <w:sz w:val="22"/>
          <w:szCs w:val="22"/>
          <w:lang w:val="sr-Latn-BA"/>
        </w:rPr>
      </w:pPr>
    </w:p>
    <w:p w14:paraId="2C0982F4" w14:textId="175895FD" w:rsidR="008B7ABE" w:rsidRDefault="00367242" w:rsidP="00367242">
      <w:pPr>
        <w:jc w:val="both"/>
        <w:rPr>
          <w:rFonts w:ascii="Cambria" w:hAnsi="Cambria"/>
          <w:noProof/>
          <w:sz w:val="22"/>
          <w:szCs w:val="22"/>
          <w:lang w:val="sr-Latn-BA"/>
        </w:rPr>
      </w:pPr>
      <w:r w:rsidRPr="00367242">
        <w:rPr>
          <w:rFonts w:ascii="Cambria" w:hAnsi="Cambria"/>
          <w:noProof/>
          <w:sz w:val="22"/>
          <w:szCs w:val="22"/>
          <w:lang w:val="sr-Latn-BA"/>
        </w:rPr>
        <w:t>Fond u svom portfelju nema dužničkih hartija od vrijednosti pa tako ni nenaplaćenih potraživanja po tom osnovu</w:t>
      </w:r>
      <w:r>
        <w:rPr>
          <w:rFonts w:ascii="Cambria" w:hAnsi="Cambria"/>
          <w:noProof/>
          <w:sz w:val="22"/>
          <w:szCs w:val="22"/>
          <w:lang w:val="sr-Latn-BA"/>
        </w:rPr>
        <w:t>.</w:t>
      </w:r>
    </w:p>
    <w:p w14:paraId="4B96A6C1" w14:textId="77777777" w:rsidR="00367242" w:rsidRDefault="00367242" w:rsidP="00367242">
      <w:pPr>
        <w:jc w:val="both"/>
        <w:rPr>
          <w:rFonts w:ascii="Cambria" w:hAnsi="Cambria"/>
          <w:noProof/>
          <w:sz w:val="22"/>
          <w:szCs w:val="22"/>
          <w:lang w:val="sr-Latn-BA"/>
        </w:rPr>
      </w:pPr>
    </w:p>
    <w:p w14:paraId="58985068" w14:textId="3DFCF32B" w:rsidR="00E53AF4" w:rsidRDefault="00664F2B" w:rsidP="00664F2B">
      <w:pPr>
        <w:jc w:val="both"/>
        <w:rPr>
          <w:rFonts w:ascii="Cambria" w:hAnsi="Cambria"/>
          <w:b/>
          <w:bCs/>
          <w:noProof/>
          <w:sz w:val="22"/>
          <w:szCs w:val="22"/>
          <w:lang w:val="sr-Latn-BA"/>
        </w:rPr>
      </w:pPr>
      <w:r w:rsidRPr="00ED23FA">
        <w:rPr>
          <w:rFonts w:ascii="Cambria" w:hAnsi="Cambria"/>
          <w:b/>
          <w:bCs/>
          <w:noProof/>
          <w:sz w:val="22"/>
          <w:szCs w:val="22"/>
          <w:lang w:val="sr-Latn-BA"/>
        </w:rPr>
        <w:t xml:space="preserve">Rizik likvidnosti </w:t>
      </w:r>
    </w:p>
    <w:p w14:paraId="55111174" w14:textId="77777777" w:rsidR="007C585C" w:rsidRPr="00EC66B4" w:rsidRDefault="007C585C" w:rsidP="007C585C">
      <w:pPr>
        <w:jc w:val="both"/>
        <w:rPr>
          <w:lang w:val="bs-Latn-BA"/>
        </w:rPr>
      </w:pPr>
      <w:r w:rsidRPr="00EC66B4">
        <w:rPr>
          <w:lang w:val="bs-Latn-BA"/>
        </w:rPr>
        <w:t>Zaključno sa 30.0</w:t>
      </w:r>
      <w:r>
        <w:rPr>
          <w:lang w:val="bs-Latn-BA"/>
        </w:rPr>
        <w:t>9</w:t>
      </w:r>
      <w:r w:rsidRPr="00EC66B4">
        <w:rPr>
          <w:lang w:val="bs-Latn-BA"/>
        </w:rPr>
        <w:t>.2024. godine dominantan je visok nivo rizika u odnosu na ostale nivoe rizika, tako da je rizik likvidnosti visok.</w:t>
      </w:r>
    </w:p>
    <w:p w14:paraId="0AD7628A" w14:textId="77777777" w:rsidR="007C585C" w:rsidRDefault="007C585C" w:rsidP="007C585C">
      <w:pPr>
        <w:jc w:val="both"/>
        <w:rPr>
          <w:lang w:val="bs-Latn-BA"/>
        </w:rPr>
      </w:pPr>
      <w:r w:rsidRPr="00173C43">
        <w:rPr>
          <w:lang w:val="bs-Latn-BA"/>
        </w:rPr>
        <w:t>Trend kretanja rizika likvidnosti zaključno sa 3</w:t>
      </w:r>
      <w:r>
        <w:rPr>
          <w:lang w:val="bs-Latn-BA"/>
        </w:rPr>
        <w:t>0.09.</w:t>
      </w:r>
      <w:r w:rsidRPr="00173C43">
        <w:rPr>
          <w:lang w:val="bs-Latn-BA"/>
        </w:rPr>
        <w:t>20</w:t>
      </w:r>
      <w:r>
        <w:rPr>
          <w:lang w:val="bs-Latn-BA"/>
        </w:rPr>
        <w:t>24</w:t>
      </w:r>
      <w:r w:rsidRPr="00173C43">
        <w:rPr>
          <w:lang w:val="bs-Latn-BA"/>
        </w:rPr>
        <w:t>. godine u odnosu na  3</w:t>
      </w:r>
      <w:r>
        <w:rPr>
          <w:lang w:val="bs-Latn-BA"/>
        </w:rPr>
        <w:t>0</w:t>
      </w:r>
      <w:r w:rsidRPr="00173C43">
        <w:rPr>
          <w:lang w:val="bs-Latn-BA"/>
        </w:rPr>
        <w:t>.</w:t>
      </w:r>
      <w:r>
        <w:rPr>
          <w:lang w:val="bs-Latn-BA"/>
        </w:rPr>
        <w:t>06</w:t>
      </w:r>
      <w:r w:rsidRPr="00173C43">
        <w:rPr>
          <w:lang w:val="bs-Latn-BA"/>
        </w:rPr>
        <w:t>.20</w:t>
      </w:r>
      <w:r>
        <w:rPr>
          <w:lang w:val="bs-Latn-BA"/>
        </w:rPr>
        <w:t>24</w:t>
      </w:r>
      <w:r w:rsidRPr="00173C43">
        <w:rPr>
          <w:lang w:val="bs-Latn-BA"/>
        </w:rPr>
        <w:t>. godine je</w:t>
      </w:r>
      <w:r>
        <w:rPr>
          <w:lang w:val="bs-Latn-BA"/>
        </w:rPr>
        <w:t xml:space="preserve"> negativan </w:t>
      </w:r>
      <w:r w:rsidRPr="00173C43">
        <w:rPr>
          <w:lang w:val="bs-Latn-BA"/>
        </w:rPr>
        <w:t xml:space="preserve">iz razloga što je došlo do </w:t>
      </w:r>
      <w:r>
        <w:rPr>
          <w:lang w:val="bs-Latn-BA"/>
        </w:rPr>
        <w:t>povećanja</w:t>
      </w:r>
      <w:r w:rsidRPr="00173C43">
        <w:rPr>
          <w:lang w:val="bs-Latn-BA"/>
        </w:rPr>
        <w:t xml:space="preserve"> procenta </w:t>
      </w:r>
      <w:r>
        <w:rPr>
          <w:lang w:val="bs-Latn-BA"/>
        </w:rPr>
        <w:t>visokog</w:t>
      </w:r>
      <w:r w:rsidRPr="00173C43">
        <w:rPr>
          <w:lang w:val="bs-Latn-BA"/>
        </w:rPr>
        <w:t xml:space="preserve"> nivoa rizika likvidnosti sa </w:t>
      </w:r>
      <w:r>
        <w:rPr>
          <w:lang w:val="bs-Latn-BA"/>
        </w:rPr>
        <w:t xml:space="preserve">58,15 </w:t>
      </w:r>
      <w:r w:rsidRPr="00675BD7">
        <w:rPr>
          <w:lang w:val="bs-Latn-BA"/>
        </w:rPr>
        <w:t>%</w:t>
      </w:r>
      <w:r>
        <w:rPr>
          <w:lang w:val="bs-Latn-BA"/>
        </w:rPr>
        <w:t xml:space="preserve">  </w:t>
      </w:r>
      <w:r w:rsidRPr="00173C43">
        <w:rPr>
          <w:lang w:val="bs-Latn-BA"/>
        </w:rPr>
        <w:t xml:space="preserve">na </w:t>
      </w:r>
      <w:r>
        <w:rPr>
          <w:lang w:val="bs-Latn-BA"/>
        </w:rPr>
        <w:t xml:space="preserve"> 65,31 </w:t>
      </w:r>
      <w:r w:rsidRPr="00173C43">
        <w:rPr>
          <w:lang w:val="bs-Latn-BA"/>
        </w:rPr>
        <w:t>%</w:t>
      </w:r>
      <w:r>
        <w:rPr>
          <w:lang w:val="bs-Latn-BA"/>
        </w:rPr>
        <w:t>.</w:t>
      </w:r>
    </w:p>
    <w:p w14:paraId="03EC01FB" w14:textId="77777777" w:rsidR="007C585C" w:rsidRDefault="007C585C" w:rsidP="007C585C">
      <w:pPr>
        <w:jc w:val="both"/>
        <w:rPr>
          <w:lang w:val="bs-Latn-BA"/>
        </w:rPr>
      </w:pPr>
      <w:r w:rsidRPr="0043766D">
        <w:t xml:space="preserve"> </w:t>
      </w:r>
      <w:proofErr w:type="spellStart"/>
      <w:r w:rsidRPr="0043766D">
        <w:t>Preporuka</w:t>
      </w:r>
      <w:proofErr w:type="spellEnd"/>
      <w:r w:rsidRPr="0043766D">
        <w:rPr>
          <w:lang w:val="bs-Latn-BA"/>
        </w:rPr>
        <w:t>: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p>
    <w:p w14:paraId="67EB7F93" w14:textId="77777777" w:rsidR="008F2482" w:rsidRPr="00ED23FA" w:rsidRDefault="008F2482" w:rsidP="008F2482">
      <w:pPr>
        <w:ind w:firstLine="708"/>
        <w:jc w:val="both"/>
        <w:rPr>
          <w:rFonts w:ascii="Cambria" w:hAnsi="Cambria"/>
          <w:noProof/>
          <w:sz w:val="22"/>
          <w:szCs w:val="22"/>
          <w:lang w:val="sr-Latn-BA"/>
        </w:rPr>
      </w:pPr>
    </w:p>
    <w:tbl>
      <w:tblPr>
        <w:tblpPr w:leftFromText="180" w:rightFromText="180" w:vertAnchor="text" w:tblpY="1"/>
        <w:tblOverlap w:val="never"/>
        <w:tblW w:w="6558" w:type="dxa"/>
        <w:tblLook w:val="04A0" w:firstRow="1" w:lastRow="0" w:firstColumn="1" w:lastColumn="0" w:noHBand="0" w:noVBand="1"/>
      </w:tblPr>
      <w:tblGrid>
        <w:gridCol w:w="1458"/>
        <w:gridCol w:w="1327"/>
        <w:gridCol w:w="1223"/>
        <w:gridCol w:w="1327"/>
        <w:gridCol w:w="1223"/>
      </w:tblGrid>
      <w:tr w:rsidR="00752125" w:rsidRPr="00ED23FA" w14:paraId="251E6D62" w14:textId="77777777" w:rsidTr="007C585C">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7BD47375" w14:textId="2E26981A" w:rsidR="00752125" w:rsidRPr="00752125" w:rsidRDefault="00752125" w:rsidP="007C585C">
            <w:pPr>
              <w:jc w:val="center"/>
              <w:rPr>
                <w:rFonts w:ascii="Cambria" w:hAnsi="Cambria"/>
                <w:b/>
                <w:bCs/>
                <w:noProof/>
                <w:sz w:val="22"/>
                <w:szCs w:val="22"/>
                <w:lang w:val="sr-Latn-BA"/>
              </w:rPr>
            </w:pPr>
            <w:r w:rsidRPr="00752125">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76AE29A7" w:rsidR="00752125" w:rsidRPr="00752125" w:rsidRDefault="00943CF0" w:rsidP="007C585C">
            <w:pPr>
              <w:jc w:val="center"/>
              <w:rPr>
                <w:rFonts w:ascii="Cambria" w:hAnsi="Cambria"/>
                <w:b/>
                <w:bCs/>
                <w:noProof/>
                <w:sz w:val="22"/>
                <w:szCs w:val="22"/>
                <w:lang w:val="sr-Latn-BA" w:eastAsia="sr-Latn-RS"/>
              </w:rPr>
            </w:pPr>
            <w:r>
              <w:rPr>
                <w:b/>
                <w:bCs/>
              </w:rPr>
              <w:t>30.9</w:t>
            </w:r>
            <w:r w:rsidR="008F2482" w:rsidRPr="008F2482">
              <w:rPr>
                <w:b/>
                <w:bCs/>
              </w:rPr>
              <w:t>.2024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40BCA75E" w:rsidR="00752125" w:rsidRPr="00752125" w:rsidRDefault="00943CF0" w:rsidP="007C585C">
            <w:pPr>
              <w:jc w:val="center"/>
              <w:rPr>
                <w:rFonts w:ascii="Cambria" w:hAnsi="Cambria"/>
                <w:b/>
                <w:bCs/>
                <w:noProof/>
                <w:sz w:val="22"/>
                <w:szCs w:val="22"/>
                <w:lang w:val="sr-Latn-BA" w:eastAsia="sr-Latn-RS"/>
              </w:rPr>
            </w:pPr>
            <w:r>
              <w:rPr>
                <w:b/>
                <w:bCs/>
              </w:rPr>
              <w:t>30.6</w:t>
            </w:r>
            <w:r w:rsidR="008F2482" w:rsidRPr="008F2482">
              <w:rPr>
                <w:b/>
                <w:bCs/>
              </w:rPr>
              <w:t>.2024</w:t>
            </w:r>
          </w:p>
        </w:tc>
      </w:tr>
      <w:tr w:rsidR="00367242" w:rsidRPr="00ED23FA" w14:paraId="1C20A997" w14:textId="77777777" w:rsidTr="007C585C">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8353327" w:rsidR="00367242" w:rsidRPr="00752125" w:rsidRDefault="00367242" w:rsidP="007C585C">
            <w:pPr>
              <w:jc w:val="center"/>
              <w:rPr>
                <w:rFonts w:ascii="Cambria" w:hAnsi="Cambria"/>
                <w:b/>
                <w:bCs/>
                <w:noProof/>
                <w:sz w:val="22"/>
                <w:szCs w:val="22"/>
                <w:lang w:val="sr-Latn-BA" w:eastAsia="sr-Latn-RS"/>
              </w:rPr>
            </w:pPr>
            <w:proofErr w:type="spellStart"/>
            <w:r w:rsidRPr="00BC1D06">
              <w:t>Nivo</w:t>
            </w:r>
            <w:proofErr w:type="spellEnd"/>
            <w:r w:rsidRPr="00BC1D06">
              <w:t xml:space="preserve"> </w:t>
            </w:r>
            <w:proofErr w:type="spellStart"/>
            <w:r w:rsidRPr="00BC1D06">
              <w:t>rizika</w:t>
            </w:r>
            <w:proofErr w:type="spellEnd"/>
          </w:p>
        </w:tc>
        <w:tc>
          <w:tcPr>
            <w:tcW w:w="1327" w:type="dxa"/>
            <w:tcBorders>
              <w:top w:val="nil"/>
              <w:left w:val="nil"/>
              <w:bottom w:val="single" w:sz="4" w:space="0" w:color="808080"/>
              <w:right w:val="single" w:sz="4" w:space="0" w:color="808080"/>
            </w:tcBorders>
            <w:shd w:val="clear" w:color="auto" w:fill="auto"/>
            <w:noWrap/>
            <w:hideMark/>
          </w:tcPr>
          <w:p w14:paraId="766436A7" w14:textId="3F9B31C6" w:rsidR="00367242" w:rsidRPr="00752125" w:rsidRDefault="00367242" w:rsidP="007C585C">
            <w:pPr>
              <w:jc w:val="center"/>
              <w:rPr>
                <w:rFonts w:ascii="Cambria" w:hAnsi="Cambria"/>
                <w:b/>
                <w:bCs/>
                <w:noProof/>
                <w:sz w:val="22"/>
                <w:szCs w:val="22"/>
                <w:lang w:val="sr-Latn-BA" w:eastAsia="sr-Latn-RS"/>
              </w:rPr>
            </w:pPr>
            <w:proofErr w:type="spellStart"/>
            <w:r w:rsidRPr="00BC1D06">
              <w:t>Iznos</w:t>
            </w:r>
            <w:proofErr w:type="spellEnd"/>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5CB75D5B" w:rsidR="00367242" w:rsidRPr="00752125" w:rsidRDefault="00367242" w:rsidP="007C585C">
            <w:pPr>
              <w:jc w:val="center"/>
              <w:rPr>
                <w:rFonts w:ascii="Cambria" w:hAnsi="Cambria"/>
                <w:b/>
                <w:bCs/>
                <w:noProof/>
                <w:sz w:val="22"/>
                <w:szCs w:val="22"/>
                <w:lang w:val="sr-Latn-BA" w:eastAsia="sr-Latn-RS"/>
              </w:rPr>
            </w:pPr>
            <w:r w:rsidRPr="00BC1D06">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53E2787" w:rsidR="00367242" w:rsidRPr="00752125" w:rsidRDefault="00367242" w:rsidP="007C585C">
            <w:pPr>
              <w:jc w:val="center"/>
              <w:rPr>
                <w:rFonts w:ascii="Cambria" w:hAnsi="Cambria"/>
                <w:b/>
                <w:bCs/>
                <w:noProof/>
                <w:sz w:val="22"/>
                <w:szCs w:val="22"/>
                <w:lang w:val="sr-Latn-BA" w:eastAsia="sr-Latn-RS"/>
              </w:rPr>
            </w:pPr>
            <w:proofErr w:type="spellStart"/>
            <w:r w:rsidRPr="00BC1D06">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6DD02430" w:rsidR="00367242" w:rsidRPr="00752125" w:rsidRDefault="00367242" w:rsidP="007C585C">
            <w:pPr>
              <w:jc w:val="center"/>
              <w:rPr>
                <w:rFonts w:ascii="Cambria" w:hAnsi="Cambria"/>
                <w:b/>
                <w:bCs/>
                <w:noProof/>
                <w:sz w:val="22"/>
                <w:szCs w:val="22"/>
                <w:lang w:val="sr-Latn-BA" w:eastAsia="sr-Latn-RS"/>
              </w:rPr>
            </w:pPr>
            <w:r w:rsidRPr="00BC1D06">
              <w:t>%</w:t>
            </w:r>
          </w:p>
        </w:tc>
      </w:tr>
      <w:tr w:rsidR="00943CF0" w:rsidRPr="00ED23FA" w14:paraId="7CF88F2B" w14:textId="77777777" w:rsidTr="00F835E2">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2EA20342" w:rsidR="00943CF0" w:rsidRPr="00ED23FA" w:rsidRDefault="00943CF0" w:rsidP="00943CF0">
            <w:pPr>
              <w:rPr>
                <w:rFonts w:ascii="Cambria" w:hAnsi="Cambria"/>
                <w:noProof/>
                <w:sz w:val="22"/>
                <w:szCs w:val="22"/>
                <w:lang w:val="sr-Latn-BA" w:eastAsia="sr-Latn-RS"/>
              </w:rPr>
            </w:pPr>
            <w:proofErr w:type="spellStart"/>
            <w:r w:rsidRPr="00BC1D06">
              <w:t>nizak</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01EA1FDC" w14:textId="1A96610F"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2.277.073</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0DD4FB70" w14:textId="6C19CA31"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34,69%</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3EBEBA3A" w14:textId="121CE127"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2.360.177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35FB18F0" w14:textId="1B56533A"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37,11%</w:t>
            </w:r>
          </w:p>
        </w:tc>
      </w:tr>
      <w:tr w:rsidR="00943CF0" w:rsidRPr="00ED23FA" w14:paraId="00B6A699" w14:textId="77777777" w:rsidTr="00F835E2">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67931412" w:rsidR="00943CF0" w:rsidRPr="00ED23FA" w:rsidRDefault="00943CF0" w:rsidP="00943CF0">
            <w:pPr>
              <w:rPr>
                <w:rFonts w:ascii="Cambria" w:hAnsi="Cambria"/>
                <w:noProof/>
                <w:sz w:val="22"/>
                <w:szCs w:val="22"/>
                <w:lang w:val="sr-Latn-BA" w:eastAsia="sr-Latn-RS"/>
              </w:rPr>
            </w:pPr>
            <w:proofErr w:type="spellStart"/>
            <w:r w:rsidRPr="00BC1D06">
              <w:t>umjeren</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23E93968" w14:textId="41A45F4D"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0</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454C115D" w14:textId="585B7AAE"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1242FAAC" w14:textId="2FA4579E"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301.259</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2E9762D1" w14:textId="07FBD798"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4,74%</w:t>
            </w:r>
          </w:p>
        </w:tc>
      </w:tr>
      <w:tr w:rsidR="00943CF0" w:rsidRPr="00ED23FA" w14:paraId="2AB1A761" w14:textId="77777777" w:rsidTr="00F835E2">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DB7EB52" w:rsidR="00943CF0" w:rsidRPr="00ED23FA" w:rsidRDefault="00943CF0" w:rsidP="00943CF0">
            <w:pPr>
              <w:rPr>
                <w:rFonts w:ascii="Cambria" w:hAnsi="Cambria"/>
                <w:noProof/>
                <w:sz w:val="22"/>
                <w:szCs w:val="22"/>
                <w:lang w:val="sr-Latn-BA" w:eastAsia="sr-Latn-RS"/>
              </w:rPr>
            </w:pPr>
            <w:proofErr w:type="spellStart"/>
            <w:r w:rsidRPr="00BC1D06">
              <w:t>visok</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04277541" w14:textId="591BC2A0"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4.286.543</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78C9EFB0" w14:textId="22B8C518"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65,31%</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75FD322A" w14:textId="04414807"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3.698.366</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0D7A5F96" w14:textId="3B1857F0" w:rsidR="00943CF0" w:rsidRPr="00ED23FA" w:rsidRDefault="00943CF0" w:rsidP="00943CF0">
            <w:pPr>
              <w:jc w:val="right"/>
              <w:rPr>
                <w:rFonts w:ascii="Cambria" w:hAnsi="Cambria"/>
                <w:noProof/>
                <w:sz w:val="22"/>
                <w:szCs w:val="22"/>
                <w:lang w:val="sr-Latn-BA" w:eastAsia="sr-Latn-RS"/>
              </w:rPr>
            </w:pPr>
            <w:r w:rsidRPr="00524917">
              <w:rPr>
                <w:color w:val="000000"/>
                <w:lang w:val="sr-Latn-BA" w:eastAsia="sr-Latn-BA"/>
              </w:rPr>
              <w:t>58,15%</w:t>
            </w:r>
          </w:p>
        </w:tc>
      </w:tr>
      <w:tr w:rsidR="00943CF0" w:rsidRPr="00ED23FA" w14:paraId="40BB0CE6" w14:textId="77777777" w:rsidTr="00F835E2">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36315792" w:rsidR="00943CF0" w:rsidRPr="00367242" w:rsidRDefault="00943CF0" w:rsidP="00943CF0">
            <w:pPr>
              <w:rPr>
                <w:rFonts w:ascii="Cambria" w:hAnsi="Cambria"/>
                <w:b/>
                <w:bCs/>
                <w:noProof/>
                <w:sz w:val="22"/>
                <w:szCs w:val="22"/>
                <w:lang w:val="sr-Latn-BA" w:eastAsia="sr-Latn-RS"/>
              </w:rPr>
            </w:pPr>
            <w:proofErr w:type="spellStart"/>
            <w:r w:rsidRPr="00367242">
              <w:rPr>
                <w:b/>
                <w:bCs/>
              </w:rPr>
              <w:t>Ukupno</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48D2A596" w14:textId="006C6E23" w:rsidR="00943CF0" w:rsidRPr="008F2482" w:rsidRDefault="00943CF0" w:rsidP="00943CF0">
            <w:pPr>
              <w:jc w:val="right"/>
              <w:rPr>
                <w:rFonts w:ascii="Cambria" w:hAnsi="Cambria"/>
                <w:b/>
                <w:bCs/>
                <w:noProof/>
                <w:sz w:val="22"/>
                <w:szCs w:val="22"/>
                <w:lang w:val="sr-Latn-BA" w:eastAsia="sr-Latn-RS"/>
              </w:rPr>
            </w:pPr>
            <w:r w:rsidRPr="00524917">
              <w:rPr>
                <w:b/>
                <w:bCs/>
                <w:color w:val="000000"/>
                <w:lang w:val="sr-Latn-BA" w:eastAsia="sr-Latn-BA"/>
              </w:rPr>
              <w:t>6.563.615</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54275690" w14:textId="0C2B9084" w:rsidR="00943CF0" w:rsidRPr="008F2482" w:rsidRDefault="00943CF0" w:rsidP="00943CF0">
            <w:pPr>
              <w:jc w:val="right"/>
              <w:rPr>
                <w:rFonts w:ascii="Cambria" w:hAnsi="Cambria"/>
                <w:b/>
                <w:bCs/>
                <w:noProof/>
                <w:sz w:val="22"/>
                <w:szCs w:val="22"/>
                <w:lang w:val="sr-Latn-BA" w:eastAsia="sr-Latn-RS"/>
              </w:rPr>
            </w:pPr>
            <w:r w:rsidRPr="00524917">
              <w:rPr>
                <w:b/>
                <w:bCs/>
                <w:color w:val="000000"/>
                <w:lang w:val="sr-Latn-BA" w:eastAsia="sr-Latn-BA"/>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0430C1CF" w14:textId="7014A81B" w:rsidR="00943CF0" w:rsidRPr="008F2482" w:rsidRDefault="00943CF0" w:rsidP="00943CF0">
            <w:pPr>
              <w:jc w:val="right"/>
              <w:rPr>
                <w:rFonts w:ascii="Cambria" w:hAnsi="Cambria"/>
                <w:b/>
                <w:bCs/>
                <w:noProof/>
                <w:sz w:val="22"/>
                <w:szCs w:val="22"/>
                <w:lang w:val="sr-Latn-BA" w:eastAsia="sr-Latn-RS"/>
              </w:rPr>
            </w:pPr>
            <w:r w:rsidRPr="00524917">
              <w:rPr>
                <w:b/>
                <w:bCs/>
                <w:color w:val="000000"/>
                <w:lang w:val="sr-Latn-BA" w:eastAsia="sr-Latn-BA"/>
              </w:rPr>
              <w:t>6.359.802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5D87E077" w14:textId="0BD9FBCB" w:rsidR="00943CF0" w:rsidRPr="008F2482" w:rsidRDefault="00943CF0" w:rsidP="00943CF0">
            <w:pPr>
              <w:jc w:val="right"/>
              <w:rPr>
                <w:rFonts w:ascii="Cambria" w:hAnsi="Cambria"/>
                <w:b/>
                <w:bCs/>
                <w:noProof/>
                <w:sz w:val="22"/>
                <w:szCs w:val="22"/>
                <w:lang w:val="sr-Latn-BA" w:eastAsia="sr-Latn-RS"/>
              </w:rPr>
            </w:pPr>
            <w:r w:rsidRPr="00524917">
              <w:rPr>
                <w:b/>
                <w:bCs/>
                <w:color w:val="000000"/>
                <w:lang w:val="sr-Latn-BA" w:eastAsia="sr-Latn-BA"/>
              </w:rPr>
              <w:t>100,00%</w:t>
            </w:r>
          </w:p>
        </w:tc>
      </w:tr>
    </w:tbl>
    <w:p w14:paraId="1624A3D7" w14:textId="79E0C7A6" w:rsidR="00055F25" w:rsidRPr="00ED23FA" w:rsidRDefault="007C585C" w:rsidP="00D75D9C">
      <w:pPr>
        <w:rPr>
          <w:rFonts w:ascii="Cambria" w:hAnsi="Cambria"/>
          <w:b/>
          <w:bCs/>
          <w:noProof/>
          <w:color w:val="7030A0"/>
          <w:sz w:val="22"/>
          <w:szCs w:val="22"/>
          <w:lang w:val="sr-Latn-BA"/>
        </w:rPr>
      </w:pPr>
      <w:r>
        <w:rPr>
          <w:rFonts w:ascii="Cambria" w:hAnsi="Cambria"/>
          <w:b/>
          <w:bCs/>
          <w:noProof/>
          <w:color w:val="7030A0"/>
          <w:sz w:val="22"/>
          <w:szCs w:val="22"/>
          <w:lang w:val="sr-Latn-BA"/>
        </w:rPr>
        <w:br w:type="textWrapping" w:clear="all"/>
      </w: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30846B9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U skladu sa internom klasifikacijom nivoa rizika, rizik koncentracije se klasifikuje u tri grupe, i to:</w:t>
      </w:r>
    </w:p>
    <w:p w14:paraId="631FCAE1" w14:textId="77777777" w:rsidR="00367242" w:rsidRPr="00367242" w:rsidRDefault="00367242" w:rsidP="00367242">
      <w:pPr>
        <w:jc w:val="both"/>
        <w:rPr>
          <w:rFonts w:ascii="Cambria" w:hAnsi="Cambria"/>
          <w:noProof/>
          <w:sz w:val="22"/>
          <w:szCs w:val="22"/>
          <w:lang w:val="sr-Latn-BA"/>
        </w:rPr>
      </w:pPr>
    </w:p>
    <w:p w14:paraId="55B709D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xml:space="preserve">• Visok nivo rizika –ukoliko se više od 20% neto vrijednosti imovine fonda uloženo u jednog emitenta ili više od 40% u jedan sektor privrede. </w:t>
      </w:r>
    </w:p>
    <w:p w14:paraId="6A010007"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Umjeren nivo rizika -  ukoliko je 10-20% neto vrijednosti imovine fonda uloženo u jednog emitenta ili 25- 40% u jedan sektor privrede.</w:t>
      </w:r>
    </w:p>
    <w:p w14:paraId="03CB931F" w14:textId="77777777" w:rsid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Nizak nivo rizika- ukoliko je manje od 10% neto vrijednosti imovine fonda uloženo u jednog emitenta ili manje od 25% u jedan sektor privrede.</w:t>
      </w:r>
    </w:p>
    <w:p w14:paraId="778FFF92" w14:textId="77777777" w:rsidR="00367242" w:rsidRDefault="00367242" w:rsidP="00367242">
      <w:pPr>
        <w:jc w:val="both"/>
        <w:rPr>
          <w:rFonts w:ascii="Cambria" w:hAnsi="Cambria"/>
          <w:noProof/>
          <w:sz w:val="22"/>
          <w:szCs w:val="22"/>
          <w:lang w:val="sr-Latn-BA"/>
        </w:rPr>
      </w:pPr>
    </w:p>
    <w:p w14:paraId="0D27AA8A" w14:textId="77777777" w:rsidR="00A45D0E" w:rsidRDefault="00A45D0E" w:rsidP="00A45D0E">
      <w:pPr>
        <w:jc w:val="both"/>
      </w:pPr>
      <w:proofErr w:type="spellStart"/>
      <w:r w:rsidRPr="0053179E">
        <w:t>Imajući</w:t>
      </w:r>
      <w:proofErr w:type="spellEnd"/>
      <w:r w:rsidRPr="0053179E">
        <w:t xml:space="preserve"> u </w:t>
      </w:r>
      <w:proofErr w:type="spellStart"/>
      <w:r w:rsidRPr="0053179E">
        <w:t>vidu</w:t>
      </w:r>
      <w:proofErr w:type="spellEnd"/>
      <w:r w:rsidRPr="0053179E">
        <w:t xml:space="preserve"> da je </w:t>
      </w:r>
      <w:proofErr w:type="spellStart"/>
      <w:r w:rsidRPr="0053179E">
        <w:t>učešće</w:t>
      </w:r>
      <w:proofErr w:type="spellEnd"/>
      <w:r w:rsidRPr="0053179E">
        <w:t xml:space="preserve"> </w:t>
      </w:r>
      <w:proofErr w:type="spellStart"/>
      <w:r w:rsidRPr="0053179E">
        <w:t>emitenta</w:t>
      </w:r>
      <w:proofErr w:type="spellEnd"/>
      <w:r w:rsidRPr="0053179E">
        <w:t xml:space="preserve"> Telekom Srpske </w:t>
      </w:r>
      <w:proofErr w:type="spellStart"/>
      <w:proofErr w:type="gramStart"/>
      <w:r w:rsidRPr="0053179E">
        <w:t>a.d</w:t>
      </w:r>
      <w:proofErr w:type="spellEnd"/>
      <w:r w:rsidRPr="0053179E">
        <w:t xml:space="preserve">  Banjaluka</w:t>
      </w:r>
      <w:proofErr w:type="gramEnd"/>
      <w:r w:rsidRPr="0053179E">
        <w:t xml:space="preserve"> </w:t>
      </w:r>
      <w:r>
        <w:t>27</w:t>
      </w:r>
      <w:r w:rsidRPr="0053179E">
        <w:t>,</w:t>
      </w:r>
      <w:r>
        <w:t>08</w:t>
      </w:r>
      <w:r w:rsidRPr="0053179E">
        <w:t xml:space="preserve">% u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t xml:space="preserve">, </w:t>
      </w:r>
      <w:proofErr w:type="spellStart"/>
      <w:r>
        <w:t>kao</w:t>
      </w:r>
      <w:proofErr w:type="spellEnd"/>
      <w:r>
        <w:t xml:space="preserve"> </w:t>
      </w:r>
      <w:proofErr w:type="spellStart"/>
      <w:r>
        <w:t>i</w:t>
      </w:r>
      <w:proofErr w:type="spellEnd"/>
      <w:r>
        <w:t xml:space="preserve"> da je 55,06 % </w:t>
      </w:r>
      <w:proofErr w:type="spellStart"/>
      <w:r>
        <w:t>neto</w:t>
      </w:r>
      <w:proofErr w:type="spellEnd"/>
      <w:r>
        <w:t xml:space="preserve"> </w:t>
      </w:r>
      <w:proofErr w:type="spellStart"/>
      <w:r>
        <w:t>vrijednosti</w:t>
      </w:r>
      <w:proofErr w:type="spellEnd"/>
      <w:r>
        <w:t xml:space="preserve"> </w:t>
      </w:r>
      <w:proofErr w:type="spellStart"/>
      <w:r>
        <w:t>imovine</w:t>
      </w:r>
      <w:proofErr w:type="spellEnd"/>
      <w:r>
        <w:t xml:space="preserve"> </w:t>
      </w:r>
      <w:proofErr w:type="spellStart"/>
      <w:r>
        <w:t>fonda</w:t>
      </w:r>
      <w:proofErr w:type="spellEnd"/>
      <w:r w:rsidRPr="00F26052">
        <w:t xml:space="preserve"> </w:t>
      </w:r>
      <w:proofErr w:type="spellStart"/>
      <w:r w:rsidRPr="00F26052">
        <w:t>uloženo</w:t>
      </w:r>
      <w:proofErr w:type="spellEnd"/>
      <w:r w:rsidRPr="00F26052">
        <w:t xml:space="preserve"> u</w:t>
      </w:r>
      <w:r>
        <w:t xml:space="preserve">  </w:t>
      </w:r>
      <w:proofErr w:type="spellStart"/>
      <w:r w:rsidRPr="00F26052">
        <w:t>jedan</w:t>
      </w:r>
      <w:proofErr w:type="spellEnd"/>
      <w:r w:rsidRPr="00F26052">
        <w:t xml:space="preserve"> </w:t>
      </w:r>
      <w:proofErr w:type="spellStart"/>
      <w:r w:rsidRPr="00F26052">
        <w:t>sektor</w:t>
      </w:r>
      <w:proofErr w:type="spellEnd"/>
      <w:r w:rsidRPr="00F26052">
        <w:t xml:space="preserve"> </w:t>
      </w:r>
      <w:proofErr w:type="spellStart"/>
      <w:r w:rsidRPr="00F26052">
        <w:t>privrede</w:t>
      </w:r>
      <w:proofErr w:type="spellEnd"/>
      <w:r w:rsidRPr="00F26052">
        <w:t xml:space="preserve"> </w:t>
      </w:r>
      <w:r>
        <w:t xml:space="preserve">- </w:t>
      </w:r>
      <w:proofErr w:type="spellStart"/>
      <w:r w:rsidRPr="00BB0DCD">
        <w:t>Proizvodnja</w:t>
      </w:r>
      <w:proofErr w:type="spellEnd"/>
      <w:r w:rsidRPr="00BB0DCD">
        <w:t xml:space="preserve"> </w:t>
      </w:r>
      <w:proofErr w:type="spellStart"/>
      <w:r w:rsidRPr="00BB0DCD">
        <w:t>i</w:t>
      </w:r>
      <w:proofErr w:type="spellEnd"/>
      <w:r w:rsidRPr="00BB0DCD">
        <w:t xml:space="preserve"> </w:t>
      </w:r>
      <w:proofErr w:type="spellStart"/>
      <w:r w:rsidRPr="00BB0DCD">
        <w:t>snabdijevanje</w:t>
      </w:r>
      <w:proofErr w:type="spellEnd"/>
      <w:r w:rsidRPr="00BB0DCD">
        <w:t xml:space="preserve"> el. </w:t>
      </w:r>
      <w:proofErr w:type="spellStart"/>
      <w:r w:rsidRPr="00BB0DCD">
        <w:t>energijom</w:t>
      </w:r>
      <w:proofErr w:type="spellEnd"/>
      <w:r w:rsidRPr="00BB0DCD">
        <w:t xml:space="preserve"> </w:t>
      </w:r>
      <w:proofErr w:type="spellStart"/>
      <w:r w:rsidRPr="00BB0DCD">
        <w:t>i</w:t>
      </w:r>
      <w:proofErr w:type="spellEnd"/>
      <w:r w:rsidRPr="00BB0DCD">
        <w:t xml:space="preserve"> </w:t>
      </w:r>
      <w:proofErr w:type="spellStart"/>
      <w:r w:rsidRPr="00BB0DCD">
        <w:t>gasom</w:t>
      </w:r>
      <w:proofErr w:type="spellEnd"/>
      <w:r>
        <w:t xml:space="preserve">, </w:t>
      </w:r>
      <w:r w:rsidRPr="00182F84">
        <w:t xml:space="preserve">u </w:t>
      </w:r>
      <w:proofErr w:type="spellStart"/>
      <w:r w:rsidRPr="00182F84">
        <w:t>skladu</w:t>
      </w:r>
      <w:proofErr w:type="spellEnd"/>
      <w:r w:rsidRPr="00182F84">
        <w:t xml:space="preserve"> </w:t>
      </w:r>
      <w:proofErr w:type="spellStart"/>
      <w:r w:rsidRPr="00182F84">
        <w:t>sa</w:t>
      </w:r>
      <w:proofErr w:type="spellEnd"/>
      <w:r w:rsidRPr="00182F84">
        <w:t xml:space="preserve"> </w:t>
      </w:r>
      <w:proofErr w:type="spellStart"/>
      <w:r w:rsidRPr="00182F84">
        <w:t>internom</w:t>
      </w:r>
      <w:proofErr w:type="spellEnd"/>
      <w:r w:rsidRPr="00182F84">
        <w:t xml:space="preserve"> </w:t>
      </w:r>
      <w:proofErr w:type="spellStart"/>
      <w:r w:rsidRPr="00182F84">
        <w:t>klasifikacijom</w:t>
      </w:r>
      <w:proofErr w:type="spellEnd"/>
      <w:r w:rsidRPr="00182F84">
        <w:t xml:space="preserve"> </w:t>
      </w:r>
      <w:proofErr w:type="spellStart"/>
      <w:r w:rsidRPr="00182F84">
        <w:t>nivoa</w:t>
      </w:r>
      <w:proofErr w:type="spellEnd"/>
      <w:r w:rsidRPr="00182F84">
        <w:t xml:space="preserve"> </w:t>
      </w:r>
      <w:proofErr w:type="spellStart"/>
      <w:r w:rsidRPr="00182F84">
        <w:t>rizika</w:t>
      </w:r>
      <w:proofErr w:type="spellEnd"/>
      <w:r w:rsidRPr="00182F84">
        <w:t xml:space="preserve">, </w:t>
      </w:r>
      <w:proofErr w:type="spellStart"/>
      <w:r w:rsidRPr="00182F84">
        <w:t>rizik</w:t>
      </w:r>
      <w:proofErr w:type="spellEnd"/>
      <w:r w:rsidRPr="00182F84">
        <w:t xml:space="preserve"> </w:t>
      </w:r>
      <w:proofErr w:type="spellStart"/>
      <w:r w:rsidRPr="00182F84">
        <w:t>koncentracije</w:t>
      </w:r>
      <w:proofErr w:type="spellEnd"/>
      <w:r w:rsidRPr="00182F84">
        <w:t xml:space="preserve"> je </w:t>
      </w:r>
      <w:proofErr w:type="spellStart"/>
      <w:r w:rsidRPr="00182F84">
        <w:t>visok</w:t>
      </w:r>
      <w:proofErr w:type="spellEnd"/>
      <w:r w:rsidRPr="00182F84">
        <w:t>.</w:t>
      </w:r>
    </w:p>
    <w:p w14:paraId="45C62C86" w14:textId="77777777" w:rsidR="00A45D0E" w:rsidRDefault="00A45D0E" w:rsidP="00A45D0E">
      <w:pPr>
        <w:jc w:val="both"/>
      </w:pPr>
    </w:p>
    <w:p w14:paraId="5EA6F9F4" w14:textId="77777777" w:rsidR="00A45D0E" w:rsidRPr="0053179E" w:rsidRDefault="00A45D0E" w:rsidP="00A45D0E">
      <w:pPr>
        <w:jc w:val="both"/>
      </w:pPr>
      <w:proofErr w:type="spellStart"/>
      <w:r>
        <w:t>Preporuka</w:t>
      </w:r>
      <w:proofErr w:type="spellEnd"/>
      <w:r>
        <w:t xml:space="preserve">: </w:t>
      </w:r>
      <w:proofErr w:type="spellStart"/>
      <w:r w:rsidRPr="0053179E">
        <w:t>Prodajom</w:t>
      </w:r>
      <w:proofErr w:type="spellEnd"/>
      <w:r w:rsidRPr="0053179E">
        <w:t xml:space="preserve"> </w:t>
      </w:r>
      <w:proofErr w:type="spellStart"/>
      <w:r w:rsidRPr="0053179E">
        <w:t>dijela</w:t>
      </w:r>
      <w:proofErr w:type="spellEnd"/>
      <w:r w:rsidRPr="0053179E">
        <w:t xml:space="preserve"> </w:t>
      </w:r>
      <w:proofErr w:type="spellStart"/>
      <w:r w:rsidRPr="0053179E">
        <w:t>akcija</w:t>
      </w:r>
      <w:proofErr w:type="spellEnd"/>
      <w:r w:rsidRPr="0053179E">
        <w:t xml:space="preserve"> </w:t>
      </w:r>
      <w:proofErr w:type="spellStart"/>
      <w:r w:rsidRPr="0053179E">
        <w:t>emitenta</w:t>
      </w:r>
      <w:proofErr w:type="spellEnd"/>
      <w:r w:rsidRPr="0053179E">
        <w:t xml:space="preserve"> Telekom Srpske </w:t>
      </w:r>
      <w:proofErr w:type="spellStart"/>
      <w:r w:rsidRPr="0053179E">
        <w:t>a.d.</w:t>
      </w:r>
      <w:proofErr w:type="spellEnd"/>
      <w:r w:rsidRPr="0053179E">
        <w:t xml:space="preserve"> Banjaluka</w:t>
      </w:r>
      <w:r>
        <w:t xml:space="preserve"> </w:t>
      </w:r>
      <w:proofErr w:type="spellStart"/>
      <w:r>
        <w:t>i</w:t>
      </w:r>
      <w:proofErr w:type="spellEnd"/>
      <w:r>
        <w:t xml:space="preserve"> </w:t>
      </w:r>
      <w:proofErr w:type="spellStart"/>
      <w:r>
        <w:t>dijela</w:t>
      </w:r>
      <w:proofErr w:type="spellEnd"/>
      <w:r>
        <w:t xml:space="preserve"> </w:t>
      </w:r>
      <w:proofErr w:type="spellStart"/>
      <w:r>
        <w:t>akcija</w:t>
      </w:r>
      <w:proofErr w:type="spellEnd"/>
      <w:r>
        <w:t xml:space="preserve"> </w:t>
      </w:r>
      <w:proofErr w:type="spellStart"/>
      <w:r>
        <w:t>emitenata</w:t>
      </w:r>
      <w:proofErr w:type="spellEnd"/>
      <w:r>
        <w:t xml:space="preserve"> </w:t>
      </w:r>
      <w:proofErr w:type="spellStart"/>
      <w:r>
        <w:t>iz</w:t>
      </w:r>
      <w:proofErr w:type="spellEnd"/>
      <w:r>
        <w:t xml:space="preserve"> </w:t>
      </w:r>
      <w:proofErr w:type="spellStart"/>
      <w:r>
        <w:t>sistema</w:t>
      </w:r>
      <w:proofErr w:type="spellEnd"/>
      <w:r>
        <w:t xml:space="preserve"> </w:t>
      </w:r>
      <w:proofErr w:type="spellStart"/>
      <w:r>
        <w:t>Elektroprivrede</w:t>
      </w:r>
      <w:proofErr w:type="spellEnd"/>
      <w:r>
        <w:t xml:space="preserve"> RS, </w:t>
      </w:r>
      <w:proofErr w:type="spellStart"/>
      <w:r w:rsidRPr="0053179E">
        <w:t>stiču</w:t>
      </w:r>
      <w:proofErr w:type="spellEnd"/>
      <w:r w:rsidRPr="0053179E">
        <w:t xml:space="preserve"> se </w:t>
      </w:r>
      <w:proofErr w:type="spellStart"/>
      <w:r w:rsidRPr="0053179E">
        <w:t>uslovi</w:t>
      </w:r>
      <w:proofErr w:type="spellEnd"/>
      <w:r w:rsidRPr="0053179E">
        <w:t xml:space="preserve"> </w:t>
      </w:r>
      <w:proofErr w:type="spellStart"/>
      <w:r w:rsidRPr="0053179E">
        <w:t>sa</w:t>
      </w:r>
      <w:proofErr w:type="spellEnd"/>
      <w:r w:rsidRPr="0053179E">
        <w:t xml:space="preserve"> </w:t>
      </w:r>
      <w:proofErr w:type="spellStart"/>
      <w:r w:rsidRPr="0053179E">
        <w:t>smanjivanje</w:t>
      </w:r>
      <w:proofErr w:type="spellEnd"/>
      <w:r w:rsidRPr="0053179E">
        <w:t xml:space="preserve"> </w:t>
      </w:r>
      <w:proofErr w:type="spellStart"/>
      <w:r w:rsidRPr="0053179E">
        <w:t>rizika</w:t>
      </w:r>
      <w:proofErr w:type="spellEnd"/>
      <w:r w:rsidRPr="0053179E">
        <w:t xml:space="preserve"> </w:t>
      </w:r>
      <w:proofErr w:type="spellStart"/>
      <w:proofErr w:type="gramStart"/>
      <w:r w:rsidRPr="0053179E">
        <w:t>koncentracije</w:t>
      </w:r>
      <w:proofErr w:type="spellEnd"/>
      <w:r>
        <w:t xml:space="preserve"> </w:t>
      </w:r>
      <w:r w:rsidRPr="0053179E">
        <w:t>.</w:t>
      </w:r>
      <w:proofErr w:type="gramEnd"/>
    </w:p>
    <w:p w14:paraId="01486D19" w14:textId="4D9FF931" w:rsidR="00367242" w:rsidRDefault="008F2482" w:rsidP="00367242">
      <w:pPr>
        <w:jc w:val="both"/>
        <w:rPr>
          <w:rFonts w:ascii="Cambria" w:hAnsi="Cambria"/>
          <w:noProof/>
          <w:sz w:val="22"/>
          <w:szCs w:val="22"/>
          <w:lang w:val="sr-Latn-BA"/>
        </w:rPr>
      </w:pPr>
      <w:r w:rsidRPr="008F2482">
        <w:rPr>
          <w:rFonts w:ascii="Cambria" w:hAnsi="Cambria"/>
          <w:noProof/>
          <w:sz w:val="22"/>
          <w:szCs w:val="22"/>
          <w:lang w:val="sr-Latn-BA"/>
        </w:rPr>
        <w:lastRenderedPageBreak/>
        <w:t>.</w:t>
      </w:r>
    </w:p>
    <w:p w14:paraId="2CAF1206" w14:textId="77777777" w:rsidR="00367242" w:rsidRDefault="00367242" w:rsidP="00367242">
      <w:pPr>
        <w:jc w:val="both"/>
        <w:rPr>
          <w:rFonts w:ascii="Cambria" w:hAnsi="Cambria"/>
          <w:noProof/>
          <w:sz w:val="22"/>
          <w:szCs w:val="22"/>
          <w:lang w:val="sr-Latn-BA"/>
        </w:rPr>
      </w:pPr>
    </w:p>
    <w:p w14:paraId="39D8FB31" w14:textId="77777777" w:rsidR="00367242" w:rsidRDefault="00367242" w:rsidP="00367242">
      <w:pPr>
        <w:jc w:val="both"/>
        <w:rPr>
          <w:rFonts w:ascii="Cambria" w:hAnsi="Cambria"/>
          <w:noProof/>
          <w:sz w:val="22"/>
          <w:szCs w:val="22"/>
          <w:lang w:val="sr-Latn-BA"/>
        </w:rPr>
      </w:pPr>
    </w:p>
    <w:p w14:paraId="11BD2BC4" w14:textId="77777777" w:rsidR="000451B1" w:rsidRDefault="000451B1" w:rsidP="00367242">
      <w:pPr>
        <w:jc w:val="both"/>
        <w:rPr>
          <w:rFonts w:ascii="Cambria" w:hAnsi="Cambria"/>
          <w:noProof/>
          <w:sz w:val="22"/>
          <w:szCs w:val="22"/>
          <w:lang w:val="sr-Latn-BA"/>
        </w:rPr>
      </w:pPr>
    </w:p>
    <w:p w14:paraId="60C0EA92" w14:textId="71C416BD" w:rsidR="00664F2B" w:rsidRDefault="00664F2B" w:rsidP="00752125">
      <w:pPr>
        <w:jc w:val="both"/>
        <w:rPr>
          <w:rFonts w:ascii="Cambria" w:hAnsi="Cambria"/>
          <w:b/>
          <w:bCs/>
          <w:noProof/>
          <w:sz w:val="22"/>
          <w:szCs w:val="22"/>
          <w:lang w:val="sr-Latn-BA"/>
        </w:rPr>
      </w:pPr>
      <w:r w:rsidRPr="00A13C71">
        <w:rPr>
          <w:rFonts w:ascii="Cambria" w:hAnsi="Cambria"/>
          <w:b/>
          <w:bCs/>
          <w:noProof/>
          <w:sz w:val="22"/>
          <w:szCs w:val="22"/>
          <w:lang w:val="sr-Latn-BA"/>
        </w:rPr>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3C7097" w:rsidRPr="00A13C71" w14:paraId="0896C988" w14:textId="77777777" w:rsidTr="007D618E">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2B134CA7" w:rsidR="003C7097" w:rsidRPr="00A13C71" w:rsidRDefault="003C7097" w:rsidP="003C7097">
            <w:pPr>
              <w:rPr>
                <w:rFonts w:ascii="Cambria" w:hAnsi="Cambria"/>
                <w:noProof/>
                <w:sz w:val="22"/>
                <w:szCs w:val="22"/>
                <w:lang w:val="sr-Latn-BA" w:eastAsia="sr-Latn-RS"/>
              </w:rPr>
            </w:pPr>
            <w:proofErr w:type="spellStart"/>
            <w:r w:rsidRPr="005C2695">
              <w:t>Procijenjena</w:t>
            </w:r>
            <w:proofErr w:type="spellEnd"/>
            <w:r w:rsidRPr="005C2695">
              <w:t xml:space="preserve"> </w:t>
            </w:r>
            <w:proofErr w:type="spellStart"/>
            <w:r w:rsidRPr="005C2695">
              <w:t>vrijednost</w:t>
            </w:r>
            <w:proofErr w:type="spellEnd"/>
            <w:r w:rsidRPr="005C2695">
              <w:t xml:space="preserve"> </w:t>
            </w:r>
            <w:proofErr w:type="spellStart"/>
            <w:r w:rsidRPr="005C2695">
              <w:t>likvidne</w:t>
            </w:r>
            <w:proofErr w:type="spellEnd"/>
            <w:r w:rsidRPr="005C2695">
              <w:t xml:space="preserve"> </w:t>
            </w:r>
            <w:proofErr w:type="spellStart"/>
            <w:r w:rsidRPr="005C2695">
              <w:t>imovine</w:t>
            </w:r>
            <w:proofErr w:type="spellEnd"/>
          </w:p>
        </w:tc>
        <w:tc>
          <w:tcPr>
            <w:tcW w:w="1453" w:type="dxa"/>
            <w:tcBorders>
              <w:top w:val="nil"/>
              <w:left w:val="nil"/>
              <w:bottom w:val="single" w:sz="4" w:space="0" w:color="808080"/>
              <w:right w:val="single" w:sz="4" w:space="0" w:color="808080"/>
            </w:tcBorders>
            <w:shd w:val="clear" w:color="auto" w:fill="auto"/>
            <w:noWrap/>
            <w:vAlign w:val="center"/>
          </w:tcPr>
          <w:p w14:paraId="508AFCD3" w14:textId="263381E3"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840.589</w:t>
            </w:r>
          </w:p>
        </w:tc>
        <w:tc>
          <w:tcPr>
            <w:tcW w:w="1453" w:type="dxa"/>
            <w:tcBorders>
              <w:top w:val="nil"/>
              <w:left w:val="nil"/>
              <w:bottom w:val="single" w:sz="4" w:space="0" w:color="808080"/>
              <w:right w:val="single" w:sz="4" w:space="0" w:color="808080"/>
            </w:tcBorders>
            <w:shd w:val="clear" w:color="auto" w:fill="auto"/>
            <w:noWrap/>
            <w:vAlign w:val="center"/>
          </w:tcPr>
          <w:p w14:paraId="7F12168C" w14:textId="307ED683"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1.891.189</w:t>
            </w:r>
          </w:p>
        </w:tc>
        <w:tc>
          <w:tcPr>
            <w:tcW w:w="1453" w:type="dxa"/>
            <w:tcBorders>
              <w:top w:val="nil"/>
              <w:left w:val="nil"/>
              <w:bottom w:val="single" w:sz="4" w:space="0" w:color="808080"/>
              <w:right w:val="single" w:sz="4" w:space="0" w:color="808080"/>
            </w:tcBorders>
            <w:shd w:val="clear" w:color="auto" w:fill="auto"/>
            <w:noWrap/>
            <w:vAlign w:val="center"/>
          </w:tcPr>
          <w:p w14:paraId="73F7E846" w14:textId="2A8EF953"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2.530.087</w:t>
            </w:r>
          </w:p>
        </w:tc>
      </w:tr>
      <w:tr w:rsidR="003C7097" w:rsidRPr="00A13C71" w14:paraId="3B96527C" w14:textId="77777777" w:rsidTr="007D618E">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1618834C" w:rsidR="003C7097" w:rsidRPr="00A13C71" w:rsidRDefault="003C7097" w:rsidP="003C7097">
            <w:pPr>
              <w:rPr>
                <w:rFonts w:ascii="Cambria" w:hAnsi="Cambria"/>
                <w:noProof/>
                <w:sz w:val="22"/>
                <w:szCs w:val="22"/>
                <w:lang w:val="sr-Latn-BA" w:eastAsia="sr-Latn-RS"/>
              </w:rPr>
            </w:pPr>
            <w:r w:rsidRPr="005C2695">
              <w:t xml:space="preserve">Neto </w:t>
            </w:r>
            <w:proofErr w:type="spellStart"/>
            <w:r w:rsidRPr="005C2695">
              <w:t>imovina</w:t>
            </w:r>
            <w:proofErr w:type="spellEnd"/>
            <w:r w:rsidRPr="005C2695">
              <w:t xml:space="preserve"> </w:t>
            </w:r>
            <w:proofErr w:type="spellStart"/>
            <w:r w:rsidRPr="005C2695">
              <w:t>fonda</w:t>
            </w:r>
            <w:proofErr w:type="spellEnd"/>
          </w:p>
        </w:tc>
        <w:tc>
          <w:tcPr>
            <w:tcW w:w="1453" w:type="dxa"/>
            <w:tcBorders>
              <w:top w:val="nil"/>
              <w:left w:val="nil"/>
              <w:bottom w:val="single" w:sz="4" w:space="0" w:color="808080"/>
              <w:right w:val="single" w:sz="4" w:space="0" w:color="808080"/>
            </w:tcBorders>
            <w:shd w:val="clear" w:color="auto" w:fill="auto"/>
            <w:noWrap/>
            <w:vAlign w:val="center"/>
          </w:tcPr>
          <w:p w14:paraId="684CB541" w14:textId="6F04D958"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6.545.253</w:t>
            </w:r>
          </w:p>
        </w:tc>
        <w:tc>
          <w:tcPr>
            <w:tcW w:w="1453" w:type="dxa"/>
            <w:tcBorders>
              <w:top w:val="nil"/>
              <w:left w:val="nil"/>
              <w:bottom w:val="single" w:sz="4" w:space="0" w:color="808080"/>
              <w:right w:val="single" w:sz="4" w:space="0" w:color="808080"/>
            </w:tcBorders>
            <w:shd w:val="clear" w:color="auto" w:fill="auto"/>
            <w:noWrap/>
            <w:vAlign w:val="center"/>
          </w:tcPr>
          <w:p w14:paraId="61D25C32" w14:textId="7CDCB92D"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6.545.253</w:t>
            </w:r>
          </w:p>
        </w:tc>
        <w:tc>
          <w:tcPr>
            <w:tcW w:w="1453" w:type="dxa"/>
            <w:tcBorders>
              <w:top w:val="nil"/>
              <w:left w:val="nil"/>
              <w:bottom w:val="single" w:sz="4" w:space="0" w:color="808080"/>
              <w:right w:val="single" w:sz="4" w:space="0" w:color="808080"/>
            </w:tcBorders>
            <w:shd w:val="clear" w:color="auto" w:fill="auto"/>
            <w:noWrap/>
            <w:vAlign w:val="center"/>
          </w:tcPr>
          <w:p w14:paraId="5E27E558" w14:textId="63B4E1EE" w:rsidR="003C7097" w:rsidRPr="00A13C71" w:rsidRDefault="003C7097" w:rsidP="003C7097">
            <w:pPr>
              <w:jc w:val="right"/>
              <w:rPr>
                <w:rFonts w:ascii="Cambria" w:hAnsi="Cambria"/>
                <w:noProof/>
                <w:color w:val="7030A0"/>
                <w:sz w:val="22"/>
                <w:szCs w:val="22"/>
                <w:lang w:val="sr-Latn-BA" w:eastAsia="sr-Latn-RS"/>
              </w:rPr>
            </w:pPr>
            <w:r w:rsidRPr="00B735D9">
              <w:rPr>
                <w:color w:val="000000"/>
                <w:lang w:val="sr-Latn-BA" w:eastAsia="sr-Latn-BA"/>
              </w:rPr>
              <w:t>6.545.253</w:t>
            </w:r>
          </w:p>
        </w:tc>
      </w:tr>
      <w:tr w:rsidR="003C7097" w:rsidRPr="00A13C71" w14:paraId="408D0114" w14:textId="77777777" w:rsidTr="007D618E">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0DA89423" w:rsidR="003C7097" w:rsidRPr="00367242" w:rsidRDefault="003C7097" w:rsidP="003C7097">
            <w:pPr>
              <w:rPr>
                <w:rFonts w:ascii="Cambria" w:hAnsi="Cambria"/>
                <w:b/>
                <w:bCs/>
                <w:noProof/>
                <w:sz w:val="22"/>
                <w:szCs w:val="22"/>
                <w:lang w:val="sr-Latn-BA" w:eastAsia="sr-Latn-RS"/>
              </w:rPr>
            </w:pPr>
            <w:proofErr w:type="spellStart"/>
            <w:r w:rsidRPr="00367242">
              <w:rPr>
                <w:b/>
                <w:bCs/>
              </w:rPr>
              <w:t>Procenat</w:t>
            </w:r>
            <w:proofErr w:type="spellEnd"/>
            <w:r w:rsidRPr="00367242">
              <w:rPr>
                <w:b/>
                <w:bCs/>
              </w:rPr>
              <w:t xml:space="preserve"> </w:t>
            </w:r>
            <w:proofErr w:type="spellStart"/>
            <w:r w:rsidRPr="00367242">
              <w:rPr>
                <w:b/>
                <w:bCs/>
              </w:rPr>
              <w:t>likvidnosti</w:t>
            </w:r>
            <w:proofErr w:type="spellEnd"/>
            <w:r w:rsidRPr="00367242">
              <w:rPr>
                <w:b/>
                <w:bCs/>
              </w:rPr>
              <w:t xml:space="preserve"> </w:t>
            </w:r>
          </w:p>
        </w:tc>
        <w:tc>
          <w:tcPr>
            <w:tcW w:w="1453" w:type="dxa"/>
            <w:tcBorders>
              <w:top w:val="nil"/>
              <w:left w:val="nil"/>
              <w:bottom w:val="single" w:sz="4" w:space="0" w:color="808080"/>
              <w:right w:val="single" w:sz="4" w:space="0" w:color="808080"/>
            </w:tcBorders>
            <w:shd w:val="clear" w:color="auto" w:fill="auto"/>
            <w:noWrap/>
            <w:vAlign w:val="center"/>
          </w:tcPr>
          <w:p w14:paraId="128F41DB" w14:textId="66A4DCC4" w:rsidR="003C7097" w:rsidRPr="000451B1" w:rsidRDefault="003C7097" w:rsidP="003C7097">
            <w:pPr>
              <w:jc w:val="right"/>
              <w:rPr>
                <w:rFonts w:ascii="Cambria" w:hAnsi="Cambria"/>
                <w:b/>
                <w:bCs/>
                <w:noProof/>
                <w:color w:val="7030A0"/>
                <w:sz w:val="22"/>
                <w:szCs w:val="22"/>
                <w:lang w:val="sr-Latn-BA" w:eastAsia="sr-Latn-RS"/>
              </w:rPr>
            </w:pPr>
            <w:r w:rsidRPr="00B735D9">
              <w:rPr>
                <w:b/>
                <w:bCs/>
                <w:color w:val="000000"/>
                <w:lang w:val="sr-Latn-BA" w:eastAsia="sr-Latn-BA"/>
              </w:rPr>
              <w:t>12,84%</w:t>
            </w:r>
          </w:p>
        </w:tc>
        <w:tc>
          <w:tcPr>
            <w:tcW w:w="1453" w:type="dxa"/>
            <w:tcBorders>
              <w:top w:val="nil"/>
              <w:left w:val="nil"/>
              <w:bottom w:val="single" w:sz="4" w:space="0" w:color="808080"/>
              <w:right w:val="single" w:sz="4" w:space="0" w:color="808080"/>
            </w:tcBorders>
            <w:shd w:val="clear" w:color="auto" w:fill="auto"/>
            <w:noWrap/>
            <w:vAlign w:val="center"/>
          </w:tcPr>
          <w:p w14:paraId="1CDE19B8" w14:textId="312AB7FC" w:rsidR="003C7097" w:rsidRPr="000451B1" w:rsidRDefault="003C7097" w:rsidP="003C7097">
            <w:pPr>
              <w:jc w:val="right"/>
              <w:rPr>
                <w:rFonts w:ascii="Cambria" w:hAnsi="Cambria"/>
                <w:b/>
                <w:bCs/>
                <w:noProof/>
                <w:color w:val="7030A0"/>
                <w:sz w:val="22"/>
                <w:szCs w:val="22"/>
                <w:lang w:val="sr-Latn-BA" w:eastAsia="sr-Latn-RS"/>
              </w:rPr>
            </w:pPr>
            <w:r w:rsidRPr="00B735D9">
              <w:rPr>
                <w:b/>
                <w:bCs/>
                <w:color w:val="000000"/>
                <w:lang w:val="sr-Latn-BA" w:eastAsia="sr-Latn-BA"/>
              </w:rPr>
              <w:t>28,89%</w:t>
            </w:r>
          </w:p>
        </w:tc>
        <w:tc>
          <w:tcPr>
            <w:tcW w:w="1453" w:type="dxa"/>
            <w:tcBorders>
              <w:top w:val="nil"/>
              <w:left w:val="nil"/>
              <w:bottom w:val="single" w:sz="4" w:space="0" w:color="808080"/>
              <w:right w:val="single" w:sz="4" w:space="0" w:color="808080"/>
            </w:tcBorders>
            <w:shd w:val="clear" w:color="auto" w:fill="auto"/>
            <w:noWrap/>
            <w:vAlign w:val="center"/>
          </w:tcPr>
          <w:p w14:paraId="0F8D734D" w14:textId="2D31F6F9" w:rsidR="003C7097" w:rsidRPr="000451B1" w:rsidRDefault="003C7097" w:rsidP="003C7097">
            <w:pPr>
              <w:jc w:val="right"/>
              <w:rPr>
                <w:rFonts w:ascii="Cambria" w:hAnsi="Cambria"/>
                <w:b/>
                <w:bCs/>
                <w:noProof/>
                <w:color w:val="7030A0"/>
                <w:sz w:val="22"/>
                <w:szCs w:val="22"/>
                <w:lang w:val="sr-Latn-BA" w:eastAsia="sr-Latn-RS"/>
              </w:rPr>
            </w:pPr>
            <w:r w:rsidRPr="00B735D9">
              <w:rPr>
                <w:b/>
                <w:bCs/>
                <w:color w:val="000000"/>
                <w:lang w:val="sr-Latn-BA" w:eastAsia="sr-Latn-BA"/>
              </w:rPr>
              <w:t>38,66%</w:t>
            </w:r>
          </w:p>
        </w:tc>
      </w:tr>
    </w:tbl>
    <w:p w14:paraId="7C6F2744" w14:textId="77777777" w:rsidR="00664F2B" w:rsidRPr="00A13C71" w:rsidRDefault="00664F2B" w:rsidP="00664F2B">
      <w:pPr>
        <w:rPr>
          <w:rFonts w:ascii="Cambria" w:hAnsi="Cambria"/>
          <w:noProof/>
          <w:color w:val="7030A0"/>
          <w:sz w:val="22"/>
          <w:szCs w:val="22"/>
          <w:lang w:val="sr-Latn-BA"/>
        </w:rPr>
      </w:pPr>
    </w:p>
    <w:p w14:paraId="1C1357A5" w14:textId="43A75CF8" w:rsidR="007F4E71" w:rsidRDefault="00523939" w:rsidP="00664F2B">
      <w:pPr>
        <w:jc w:val="both"/>
        <w:rPr>
          <w:rFonts w:ascii="Cambria" w:hAnsi="Cambria"/>
          <w:noProof/>
          <w:sz w:val="22"/>
          <w:szCs w:val="22"/>
          <w:lang w:val="sr-Latn-BA"/>
        </w:rPr>
      </w:pPr>
      <w:r w:rsidRPr="00523939">
        <w:rPr>
          <w:rFonts w:ascii="Cambria" w:hAnsi="Cambria"/>
          <w:noProof/>
          <w:sz w:val="22"/>
          <w:szCs w:val="22"/>
          <w:lang w:val="sr-Latn-BA"/>
        </w:rPr>
        <w:t>U skladu sa internim klasifikacijom nivoa rizika, rizik otkupa udjela je visok.</w:t>
      </w:r>
    </w:p>
    <w:p w14:paraId="70AA4673" w14:textId="77777777" w:rsidR="00367242" w:rsidRDefault="00367242" w:rsidP="00664F2B">
      <w:pPr>
        <w:jc w:val="both"/>
        <w:rPr>
          <w:rFonts w:ascii="Cambria" w:hAnsi="Cambria"/>
          <w:noProof/>
          <w:sz w:val="22"/>
          <w:szCs w:val="22"/>
          <w:lang w:val="sr-Latn-BA"/>
        </w:rPr>
      </w:pPr>
    </w:p>
    <w:p w14:paraId="7F03C374" w14:textId="2EA0B29E" w:rsidR="00367242" w:rsidRDefault="00367242" w:rsidP="00664F2B">
      <w:pPr>
        <w:jc w:val="both"/>
        <w:rPr>
          <w:rFonts w:ascii="Cambria" w:hAnsi="Cambria"/>
          <w:noProof/>
          <w:sz w:val="22"/>
          <w:szCs w:val="22"/>
          <w:lang w:val="sr-Latn-BA"/>
        </w:rPr>
      </w:pPr>
      <w:r w:rsidRPr="00367242">
        <w:rPr>
          <w:rFonts w:ascii="Cambria" w:hAnsi="Cambria"/>
          <w:noProof/>
          <w:sz w:val="22"/>
          <w:szCs w:val="22"/>
          <w:lang w:val="sr-Latn-BA"/>
        </w:rPr>
        <w:t>Preporuka: U cilju smanjivanja rizika otkupa udjela, potrebno je intenzivirati prodaju nelikvidnih HOV iz portfelja Fonda čime bi se smanjio rizik vezan za otkup udjela.</w:t>
      </w:r>
    </w:p>
    <w:p w14:paraId="06A664C6" w14:textId="77777777" w:rsidR="00523939" w:rsidRPr="00A13C71" w:rsidRDefault="00523939"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7222184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Fond se u poslovanju susreće i sa sljedećim vrstama rizika:</w:t>
      </w:r>
    </w:p>
    <w:p w14:paraId="21097BD0" w14:textId="662A0DD9"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promjene kamatnih stopa</w:t>
      </w:r>
    </w:p>
    <w:p w14:paraId="03DF9A55" w14:textId="48743A86"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inflacije</w:t>
      </w:r>
    </w:p>
    <w:p w14:paraId="34305219" w14:textId="0012998C"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reinvestiranja</w:t>
      </w:r>
    </w:p>
    <w:p w14:paraId="3CCA4ACB" w14:textId="2ED31038" w:rsid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banke depozitara, poslovne banke i kastodi banke</w:t>
      </w:r>
    </w:p>
    <w:p w14:paraId="29ABD386" w14:textId="468645C1" w:rsidR="000451B1" w:rsidRPr="000451B1" w:rsidRDefault="000451B1" w:rsidP="000451B1">
      <w:pPr>
        <w:pStyle w:val="BodyText"/>
        <w:rPr>
          <w:rFonts w:ascii="Cambria" w:hAnsi="Cambria"/>
          <w:noProof/>
          <w:sz w:val="22"/>
          <w:szCs w:val="22"/>
          <w:lang w:val="sr-Latn-BA"/>
        </w:rPr>
      </w:pPr>
      <w:r w:rsidRPr="000451B1">
        <w:rPr>
          <w:rFonts w:ascii="Cambria" w:hAnsi="Cambria"/>
          <w:noProof/>
          <w:sz w:val="22"/>
          <w:szCs w:val="22"/>
          <w:lang w:val="sr-Latn-BA"/>
        </w:rPr>
        <w:t>•</w:t>
      </w:r>
      <w:r w:rsidRPr="000451B1">
        <w:rPr>
          <w:rFonts w:ascii="Cambria" w:hAnsi="Cambria"/>
          <w:noProof/>
          <w:sz w:val="22"/>
          <w:szCs w:val="22"/>
          <w:lang w:val="sr-Latn-BA"/>
        </w:rPr>
        <w:tab/>
      </w:r>
      <w:r>
        <w:rPr>
          <w:rFonts w:ascii="Cambria" w:hAnsi="Cambria"/>
          <w:noProof/>
          <w:sz w:val="22"/>
          <w:szCs w:val="22"/>
          <w:lang w:val="sr-Latn-BA"/>
        </w:rPr>
        <w:t>Rizik promjene poreskih propisa</w:t>
      </w:r>
    </w:p>
    <w:p w14:paraId="37A4330D"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Politički i regulatorni rizik</w:t>
      </w:r>
    </w:p>
    <w:p w14:paraId="3147436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promjene pozitivnih propisa</w:t>
      </w:r>
    </w:p>
    <w:p w14:paraId="15F0A8EC" w14:textId="77777777" w:rsidR="00367242" w:rsidRPr="00367242" w:rsidRDefault="00367242" w:rsidP="00367242">
      <w:pPr>
        <w:pStyle w:val="BodyText"/>
        <w:rPr>
          <w:rFonts w:ascii="Cambria" w:hAnsi="Cambria"/>
          <w:noProof/>
          <w:sz w:val="22"/>
          <w:szCs w:val="22"/>
          <w:lang w:val="sr-Latn-BA"/>
        </w:rPr>
      </w:pPr>
    </w:p>
    <w:p w14:paraId="4C8D208D" w14:textId="24BFCCD2"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 xml:space="preserve">Navedene vrste rizika nisu </w:t>
      </w:r>
      <w:r w:rsidR="001E5A7C">
        <w:rPr>
          <w:rFonts w:ascii="Cambria" w:hAnsi="Cambria"/>
          <w:noProof/>
          <w:sz w:val="22"/>
          <w:szCs w:val="22"/>
          <w:lang w:val="sr-Latn-BA"/>
        </w:rPr>
        <w:t xml:space="preserve">mjerljive i biće obrađene u </w:t>
      </w:r>
      <w:r w:rsidRPr="00367242">
        <w:rPr>
          <w:rFonts w:ascii="Cambria" w:hAnsi="Cambria"/>
          <w:noProof/>
          <w:sz w:val="22"/>
          <w:szCs w:val="22"/>
          <w:lang w:val="sr-Latn-BA"/>
        </w:rPr>
        <w:t>godišnjem izvještaju o rizicima fonda za 2024. godinu.</w:t>
      </w:r>
    </w:p>
    <w:p w14:paraId="00C37EB9" w14:textId="77777777" w:rsidR="00C548E1" w:rsidRDefault="00C548E1" w:rsidP="00163961">
      <w:pPr>
        <w:pStyle w:val="BodyText"/>
        <w:rPr>
          <w:rFonts w:ascii="Cambria" w:hAnsi="Cambria"/>
          <w:noProof/>
          <w:sz w:val="22"/>
          <w:szCs w:val="22"/>
          <w:lang w:val="sr-Latn-BA"/>
        </w:rPr>
      </w:pPr>
    </w:p>
    <w:p w14:paraId="53670AFD" w14:textId="40F2AE00"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D03EC3">
        <w:rPr>
          <w:rFonts w:ascii="Cambria" w:hAnsi="Cambria"/>
          <w:noProof/>
          <w:sz w:val="22"/>
          <w:szCs w:val="22"/>
          <w:lang w:val="sr-Latn-BA"/>
        </w:rPr>
        <w:t>Oktobar</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8B7ABE">
        <w:rPr>
          <w:rFonts w:ascii="Cambria" w:hAnsi="Cambria"/>
          <w:noProof/>
          <w:sz w:val="22"/>
          <w:szCs w:val="22"/>
          <w:lang w:val="sr-Latn-BA"/>
        </w:rPr>
        <w:t>4</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319D8A79" w:rsidR="0033759C" w:rsidRPr="00A13C71" w:rsidRDefault="00550028" w:rsidP="0033759C">
      <w:pPr>
        <w:pStyle w:val="BodyText"/>
        <w:rPr>
          <w:rFonts w:ascii="Cambria" w:hAnsi="Cambria"/>
          <w:noProof/>
          <w:sz w:val="22"/>
          <w:szCs w:val="22"/>
          <w:lang w:val="sr-Latn-BA"/>
        </w:rPr>
      </w:pPr>
      <w:r>
        <w:rPr>
          <w:rFonts w:ascii="Cambria" w:hAnsi="Cambria"/>
          <w:noProof/>
          <w:sz w:val="22"/>
          <w:szCs w:val="22"/>
          <w:lang w:val="sr-Latn-BA"/>
        </w:rPr>
        <w:t>Maja Branković</w:t>
      </w:r>
      <w:r w:rsidR="0033759C" w:rsidRPr="00A13C71">
        <w:rPr>
          <w:rFonts w:ascii="Cambria" w:hAnsi="Cambria"/>
          <w:noProof/>
          <w:sz w:val="22"/>
          <w:szCs w:val="22"/>
          <w:lang w:val="sr-Latn-BA"/>
        </w:rPr>
        <w:t xml:space="preserve">  </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07DB0933"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w:t>
      </w:r>
      <w:r w:rsidR="00367242">
        <w:rPr>
          <w:rFonts w:ascii="Cambria" w:hAnsi="Cambria"/>
          <w:noProof/>
          <w:sz w:val="22"/>
          <w:szCs w:val="22"/>
          <w:lang w:val="sr-Latn-BA"/>
        </w:rPr>
        <w:t xml:space="preserve"> </w:t>
      </w:r>
      <w:r w:rsidRPr="00A13C71">
        <w:rPr>
          <w:rFonts w:ascii="Cambria" w:hAnsi="Cambria"/>
          <w:noProof/>
          <w:sz w:val="22"/>
          <w:szCs w:val="22"/>
          <w:lang w:val="sr-Latn-BA"/>
        </w:rPr>
        <w:t>SRT-</w:t>
      </w:r>
      <w:r w:rsidR="008F0C84">
        <w:rPr>
          <w:rFonts w:ascii="Cambria" w:hAnsi="Cambria"/>
          <w:noProof/>
          <w:sz w:val="22"/>
          <w:szCs w:val="22"/>
          <w:lang w:val="sr-Latn-BA"/>
        </w:rPr>
        <w:t>1807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6511E2">
        <w:rPr>
          <w:rFonts w:ascii="Cambria" w:hAnsi="Cambria"/>
          <w:noProof/>
          <w:sz w:val="22"/>
          <w:szCs w:val="22"/>
          <w:lang w:val="sr-Latn-BA"/>
        </w:rPr>
        <w:t>4</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B96F4D">
      <w:footerReference w:type="even" r:id="rId8"/>
      <w:footerReference w:type="default" r:id="rId9"/>
      <w:pgSz w:w="12240" w:h="15840"/>
      <w:pgMar w:top="993"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27E85" w14:textId="77777777" w:rsidR="002C478B" w:rsidRDefault="002C478B">
      <w:r>
        <w:separator/>
      </w:r>
    </w:p>
  </w:endnote>
  <w:endnote w:type="continuationSeparator" w:id="0">
    <w:p w14:paraId="6EC93BAB" w14:textId="77777777" w:rsidR="002C478B" w:rsidRDefault="002C4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9E84" w14:textId="0920D1BD"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6F4D">
      <w:rPr>
        <w:rStyle w:val="PageNumber"/>
        <w:noProof/>
      </w:rPr>
      <w:t>8</w: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7C45" w14:textId="532C9E5C"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5A7C">
      <w:rPr>
        <w:rStyle w:val="PageNumber"/>
        <w:noProof/>
      </w:rPr>
      <w:t>11</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4AB3F" w14:textId="77777777" w:rsidR="002C478B" w:rsidRDefault="002C478B">
      <w:r>
        <w:separator/>
      </w:r>
    </w:p>
  </w:footnote>
  <w:footnote w:type="continuationSeparator" w:id="0">
    <w:p w14:paraId="2DF63EE9" w14:textId="77777777" w:rsidR="002C478B" w:rsidRDefault="002C4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2106920474">
    <w:abstractNumId w:val="18"/>
  </w:num>
  <w:num w:numId="2" w16cid:durableId="1848789114">
    <w:abstractNumId w:val="8"/>
  </w:num>
  <w:num w:numId="3" w16cid:durableId="241064576">
    <w:abstractNumId w:val="20"/>
  </w:num>
  <w:num w:numId="4" w16cid:durableId="1264606683">
    <w:abstractNumId w:val="11"/>
  </w:num>
  <w:num w:numId="5" w16cid:durableId="141584674">
    <w:abstractNumId w:val="13"/>
  </w:num>
  <w:num w:numId="6" w16cid:durableId="744380091">
    <w:abstractNumId w:val="23"/>
  </w:num>
  <w:num w:numId="7" w16cid:durableId="1427655179">
    <w:abstractNumId w:val="25"/>
  </w:num>
  <w:num w:numId="8" w16cid:durableId="833572638">
    <w:abstractNumId w:val="16"/>
  </w:num>
  <w:num w:numId="9" w16cid:durableId="1065564962">
    <w:abstractNumId w:val="21"/>
  </w:num>
  <w:num w:numId="10" w16cid:durableId="184171892">
    <w:abstractNumId w:val="19"/>
  </w:num>
  <w:num w:numId="11" w16cid:durableId="1930894122">
    <w:abstractNumId w:val="9"/>
  </w:num>
  <w:num w:numId="12" w16cid:durableId="809784419">
    <w:abstractNumId w:val="6"/>
  </w:num>
  <w:num w:numId="13" w16cid:durableId="1551918704">
    <w:abstractNumId w:val="12"/>
  </w:num>
  <w:num w:numId="14" w16cid:durableId="1279723360">
    <w:abstractNumId w:val="1"/>
  </w:num>
  <w:num w:numId="15" w16cid:durableId="22632866">
    <w:abstractNumId w:val="2"/>
  </w:num>
  <w:num w:numId="16" w16cid:durableId="46418618">
    <w:abstractNumId w:val="0"/>
  </w:num>
  <w:num w:numId="17" w16cid:durableId="222258800">
    <w:abstractNumId w:val="15"/>
  </w:num>
  <w:num w:numId="18" w16cid:durableId="1537229390">
    <w:abstractNumId w:val="3"/>
  </w:num>
  <w:num w:numId="19" w16cid:durableId="410125576">
    <w:abstractNumId w:val="5"/>
  </w:num>
  <w:num w:numId="20" w16cid:durableId="1937009253">
    <w:abstractNumId w:val="10"/>
  </w:num>
  <w:num w:numId="21" w16cid:durableId="2000501678">
    <w:abstractNumId w:val="14"/>
  </w:num>
  <w:num w:numId="22" w16cid:durableId="964500933">
    <w:abstractNumId w:val="17"/>
  </w:num>
  <w:num w:numId="23" w16cid:durableId="1740326250">
    <w:abstractNumId w:val="4"/>
  </w:num>
  <w:num w:numId="24" w16cid:durableId="942299182">
    <w:abstractNumId w:val="7"/>
  </w:num>
  <w:num w:numId="25" w16cid:durableId="384378109">
    <w:abstractNumId w:val="24"/>
  </w:num>
  <w:num w:numId="26" w16cid:durableId="7930652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1B1"/>
    <w:rsid w:val="0004536D"/>
    <w:rsid w:val="00045529"/>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5916"/>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B06"/>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5A7C"/>
    <w:rsid w:val="001E653C"/>
    <w:rsid w:val="001E770D"/>
    <w:rsid w:val="001E777D"/>
    <w:rsid w:val="001F14A6"/>
    <w:rsid w:val="001F1B14"/>
    <w:rsid w:val="001F2A6C"/>
    <w:rsid w:val="001F31AF"/>
    <w:rsid w:val="001F5D01"/>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1EE0"/>
    <w:rsid w:val="00273EC6"/>
    <w:rsid w:val="0027556B"/>
    <w:rsid w:val="002764ED"/>
    <w:rsid w:val="002765E2"/>
    <w:rsid w:val="00276B50"/>
    <w:rsid w:val="00277099"/>
    <w:rsid w:val="0027743E"/>
    <w:rsid w:val="002774B4"/>
    <w:rsid w:val="00277C83"/>
    <w:rsid w:val="002805FA"/>
    <w:rsid w:val="00282079"/>
    <w:rsid w:val="00282917"/>
    <w:rsid w:val="002834CE"/>
    <w:rsid w:val="002837DA"/>
    <w:rsid w:val="00283A21"/>
    <w:rsid w:val="002841E8"/>
    <w:rsid w:val="00284F58"/>
    <w:rsid w:val="002850B6"/>
    <w:rsid w:val="00287B0D"/>
    <w:rsid w:val="00287BB1"/>
    <w:rsid w:val="002908FF"/>
    <w:rsid w:val="00290CA3"/>
    <w:rsid w:val="00290D2E"/>
    <w:rsid w:val="00293717"/>
    <w:rsid w:val="002961B7"/>
    <w:rsid w:val="00296C28"/>
    <w:rsid w:val="00296EF8"/>
    <w:rsid w:val="002A0401"/>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78B"/>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181"/>
    <w:rsid w:val="002F56B0"/>
    <w:rsid w:val="002F573E"/>
    <w:rsid w:val="002F5814"/>
    <w:rsid w:val="00301547"/>
    <w:rsid w:val="003033C5"/>
    <w:rsid w:val="00304278"/>
    <w:rsid w:val="00304349"/>
    <w:rsid w:val="00305221"/>
    <w:rsid w:val="0030629B"/>
    <w:rsid w:val="00306706"/>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36A8"/>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097"/>
    <w:rsid w:val="003C7188"/>
    <w:rsid w:val="003C7700"/>
    <w:rsid w:val="003C7C12"/>
    <w:rsid w:val="003D1B81"/>
    <w:rsid w:val="003D1B8C"/>
    <w:rsid w:val="003D2B5F"/>
    <w:rsid w:val="003D3BDD"/>
    <w:rsid w:val="003D7846"/>
    <w:rsid w:val="003E0076"/>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2247"/>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3778"/>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701"/>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97C"/>
    <w:rsid w:val="00536E15"/>
    <w:rsid w:val="00537FAD"/>
    <w:rsid w:val="0054021E"/>
    <w:rsid w:val="0054233B"/>
    <w:rsid w:val="005462D0"/>
    <w:rsid w:val="005467AE"/>
    <w:rsid w:val="00546AC4"/>
    <w:rsid w:val="00547BCE"/>
    <w:rsid w:val="00547F42"/>
    <w:rsid w:val="00550028"/>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2AC3"/>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0894"/>
    <w:rsid w:val="005E13D5"/>
    <w:rsid w:val="005E223D"/>
    <w:rsid w:val="005E33BB"/>
    <w:rsid w:val="005E423D"/>
    <w:rsid w:val="005E4EC7"/>
    <w:rsid w:val="005E5145"/>
    <w:rsid w:val="005E630D"/>
    <w:rsid w:val="005E6397"/>
    <w:rsid w:val="005E688E"/>
    <w:rsid w:val="005E773E"/>
    <w:rsid w:val="005F0130"/>
    <w:rsid w:val="005F0B85"/>
    <w:rsid w:val="005F1182"/>
    <w:rsid w:val="005F11E4"/>
    <w:rsid w:val="005F1D01"/>
    <w:rsid w:val="005F20D2"/>
    <w:rsid w:val="005F21D7"/>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36"/>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89A"/>
    <w:rsid w:val="006719F7"/>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4F67"/>
    <w:rsid w:val="007066CB"/>
    <w:rsid w:val="00707086"/>
    <w:rsid w:val="00707F2E"/>
    <w:rsid w:val="00711ACD"/>
    <w:rsid w:val="00712C2F"/>
    <w:rsid w:val="00712D5F"/>
    <w:rsid w:val="00715747"/>
    <w:rsid w:val="00716E5B"/>
    <w:rsid w:val="00717041"/>
    <w:rsid w:val="007176CB"/>
    <w:rsid w:val="00720030"/>
    <w:rsid w:val="00723EEB"/>
    <w:rsid w:val="00724052"/>
    <w:rsid w:val="00724B75"/>
    <w:rsid w:val="00724C0E"/>
    <w:rsid w:val="00725D03"/>
    <w:rsid w:val="00726187"/>
    <w:rsid w:val="00726B3F"/>
    <w:rsid w:val="00726CDE"/>
    <w:rsid w:val="00730ADA"/>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2125"/>
    <w:rsid w:val="007533B6"/>
    <w:rsid w:val="00754137"/>
    <w:rsid w:val="00755CC7"/>
    <w:rsid w:val="00755ED8"/>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1FD"/>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585C"/>
    <w:rsid w:val="007C6E38"/>
    <w:rsid w:val="007D06EA"/>
    <w:rsid w:val="007D07FB"/>
    <w:rsid w:val="007D2026"/>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1E6B"/>
    <w:rsid w:val="00842285"/>
    <w:rsid w:val="00842886"/>
    <w:rsid w:val="00844173"/>
    <w:rsid w:val="008456CB"/>
    <w:rsid w:val="0084580C"/>
    <w:rsid w:val="00845E6B"/>
    <w:rsid w:val="00846869"/>
    <w:rsid w:val="00846BF7"/>
    <w:rsid w:val="00846F7E"/>
    <w:rsid w:val="00850B24"/>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448"/>
    <w:rsid w:val="008B7ABE"/>
    <w:rsid w:val="008B7D28"/>
    <w:rsid w:val="008B7F12"/>
    <w:rsid w:val="008C0BAF"/>
    <w:rsid w:val="008C123D"/>
    <w:rsid w:val="008C77BD"/>
    <w:rsid w:val="008C790E"/>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0C84"/>
    <w:rsid w:val="008F18B9"/>
    <w:rsid w:val="008F2482"/>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3CF0"/>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5D0E"/>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3732"/>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5AEA"/>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4A44"/>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35A"/>
    <w:rsid w:val="00B47638"/>
    <w:rsid w:val="00B47F2B"/>
    <w:rsid w:val="00B5054F"/>
    <w:rsid w:val="00B50B55"/>
    <w:rsid w:val="00B51294"/>
    <w:rsid w:val="00B519BB"/>
    <w:rsid w:val="00B53970"/>
    <w:rsid w:val="00B57BF4"/>
    <w:rsid w:val="00B62826"/>
    <w:rsid w:val="00B67382"/>
    <w:rsid w:val="00B67C49"/>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6F4D"/>
    <w:rsid w:val="00B979E2"/>
    <w:rsid w:val="00BA05FE"/>
    <w:rsid w:val="00BA061F"/>
    <w:rsid w:val="00BA0699"/>
    <w:rsid w:val="00BA08D8"/>
    <w:rsid w:val="00BA0E26"/>
    <w:rsid w:val="00BA134C"/>
    <w:rsid w:val="00BA285D"/>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E6E56"/>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3246"/>
    <w:rsid w:val="00C64B3F"/>
    <w:rsid w:val="00C65FB3"/>
    <w:rsid w:val="00C66023"/>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3EC3"/>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7D2"/>
    <w:rsid w:val="00D93E73"/>
    <w:rsid w:val="00D93FFC"/>
    <w:rsid w:val="00D94D80"/>
    <w:rsid w:val="00D9524C"/>
    <w:rsid w:val="00D95858"/>
    <w:rsid w:val="00D96BC2"/>
    <w:rsid w:val="00D9783B"/>
    <w:rsid w:val="00DA02F7"/>
    <w:rsid w:val="00DA3056"/>
    <w:rsid w:val="00DA30E8"/>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DF7B88"/>
    <w:rsid w:val="00E00FDD"/>
    <w:rsid w:val="00E015A9"/>
    <w:rsid w:val="00E01A4F"/>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BB1"/>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2DF"/>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3CED"/>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3B1C"/>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111461">
      <w:bodyDiv w:val="1"/>
      <w:marLeft w:val="0"/>
      <w:marRight w:val="0"/>
      <w:marTop w:val="0"/>
      <w:marBottom w:val="0"/>
      <w:divBdr>
        <w:top w:val="none" w:sz="0" w:space="0" w:color="auto"/>
        <w:left w:val="none" w:sz="0" w:space="0" w:color="auto"/>
        <w:bottom w:val="none" w:sz="0" w:space="0" w:color="auto"/>
        <w:right w:val="none" w:sz="0" w:space="0" w:color="auto"/>
      </w:divBdr>
    </w:div>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798038643">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995649658">
      <w:bodyDiv w:val="1"/>
      <w:marLeft w:val="0"/>
      <w:marRight w:val="0"/>
      <w:marTop w:val="0"/>
      <w:marBottom w:val="0"/>
      <w:divBdr>
        <w:top w:val="none" w:sz="0" w:space="0" w:color="auto"/>
        <w:left w:val="none" w:sz="0" w:space="0" w:color="auto"/>
        <w:bottom w:val="none" w:sz="0" w:space="0" w:color="auto"/>
        <w:right w:val="none" w:sz="0" w:space="0" w:color="auto"/>
      </w:divBdr>
    </w:div>
    <w:div w:id="1066761141">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53368398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51874777">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876654631">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8B50A-4E15-4F18-AC04-1B780C83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3939</Words>
  <Characters>24549</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4</cp:revision>
  <cp:lastPrinted>2024-07-19T09:25:00Z</cp:lastPrinted>
  <dcterms:created xsi:type="dcterms:W3CDTF">2024-10-30T12:59:00Z</dcterms:created>
  <dcterms:modified xsi:type="dcterms:W3CDTF">2024-11-13T07:06:00Z</dcterms:modified>
</cp:coreProperties>
</file>