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CC761D" w14:textId="77777777" w:rsidR="0056188E" w:rsidRPr="006424B3" w:rsidRDefault="0056188E">
      <w:pPr>
        <w:rPr>
          <w:rFonts w:ascii="Cambria" w:hAnsi="Cambria"/>
          <w:noProof/>
          <w:sz w:val="22"/>
          <w:szCs w:val="22"/>
          <w:lang w:val="sr-Latn-BA"/>
        </w:rPr>
      </w:pPr>
    </w:p>
    <w:p w14:paraId="0EDBDFF9" w14:textId="77777777" w:rsidR="00210AB5" w:rsidRPr="006424B3" w:rsidRDefault="00007F24" w:rsidP="00673F65">
      <w:pPr>
        <w:jc w:val="center"/>
        <w:rPr>
          <w:rFonts w:ascii="Cambria" w:hAnsi="Cambria"/>
          <w:b/>
          <w:noProof/>
          <w:sz w:val="28"/>
          <w:szCs w:val="28"/>
          <w:lang w:val="sr-Latn-BA"/>
        </w:rPr>
      </w:pPr>
      <w:r w:rsidRPr="006424B3">
        <w:rPr>
          <w:rFonts w:ascii="Cambria" w:hAnsi="Cambria"/>
          <w:b/>
          <w:noProof/>
          <w:sz w:val="28"/>
          <w:szCs w:val="28"/>
          <w:lang w:val="sr-Latn-BA"/>
        </w:rPr>
        <w:t xml:space="preserve">OTVORENI </w:t>
      </w:r>
      <w:r w:rsidR="00FF5E1F" w:rsidRPr="006424B3">
        <w:rPr>
          <w:rFonts w:ascii="Cambria" w:hAnsi="Cambria"/>
          <w:b/>
          <w:noProof/>
          <w:sz w:val="28"/>
          <w:szCs w:val="28"/>
          <w:lang w:val="sr-Latn-BA"/>
        </w:rPr>
        <w:t>AKCIJSKI</w:t>
      </w:r>
      <w:r w:rsidRPr="006424B3">
        <w:rPr>
          <w:rFonts w:ascii="Cambria" w:hAnsi="Cambria"/>
          <w:b/>
          <w:noProof/>
          <w:sz w:val="28"/>
          <w:szCs w:val="28"/>
          <w:lang w:val="sr-Latn-BA"/>
        </w:rPr>
        <w:t xml:space="preserve"> INVESTICIONI FOND </w:t>
      </w:r>
    </w:p>
    <w:p w14:paraId="242C1818" w14:textId="77777777" w:rsidR="00B37944" w:rsidRPr="006424B3" w:rsidRDefault="008752E3" w:rsidP="00673F65">
      <w:pPr>
        <w:jc w:val="center"/>
        <w:rPr>
          <w:rFonts w:ascii="Cambria" w:hAnsi="Cambria"/>
          <w:b/>
          <w:noProof/>
          <w:sz w:val="28"/>
          <w:szCs w:val="28"/>
          <w:lang w:val="sr-Latn-BA"/>
        </w:rPr>
      </w:pPr>
      <w:r w:rsidRPr="006424B3">
        <w:rPr>
          <w:rFonts w:ascii="Cambria" w:hAnsi="Cambria"/>
          <w:b/>
          <w:noProof/>
          <w:sz w:val="28"/>
          <w:szCs w:val="28"/>
          <w:lang w:val="sr-Latn-BA"/>
        </w:rPr>
        <w:t xml:space="preserve">JAHORINA KOIN </w:t>
      </w:r>
    </w:p>
    <w:p w14:paraId="4AA512E1" w14:textId="77777777" w:rsidR="00B37944" w:rsidRPr="006424B3" w:rsidRDefault="004D1B30" w:rsidP="004D1B30">
      <w:pPr>
        <w:tabs>
          <w:tab w:val="left" w:pos="4973"/>
        </w:tabs>
        <w:rPr>
          <w:rFonts w:ascii="Cambria" w:hAnsi="Cambria"/>
          <w:noProof/>
          <w:sz w:val="22"/>
          <w:szCs w:val="22"/>
          <w:lang w:val="sr-Latn-BA"/>
        </w:rPr>
      </w:pPr>
      <w:r w:rsidRPr="006424B3">
        <w:rPr>
          <w:rFonts w:ascii="Cambria" w:hAnsi="Cambria"/>
          <w:noProof/>
          <w:sz w:val="22"/>
          <w:szCs w:val="22"/>
          <w:lang w:val="sr-Latn-BA"/>
        </w:rPr>
        <w:tab/>
      </w:r>
    </w:p>
    <w:p w14:paraId="39D22A7D" w14:textId="77777777" w:rsidR="00B37944" w:rsidRPr="006424B3" w:rsidRDefault="00B37944">
      <w:pPr>
        <w:rPr>
          <w:rFonts w:ascii="Cambria" w:hAnsi="Cambria"/>
          <w:noProof/>
          <w:sz w:val="22"/>
          <w:szCs w:val="22"/>
          <w:lang w:val="sr-Latn-BA"/>
        </w:rPr>
      </w:pPr>
    </w:p>
    <w:p w14:paraId="4EB4D4B3" w14:textId="77777777" w:rsidR="00B37944" w:rsidRPr="006424B3" w:rsidRDefault="00B37944">
      <w:pPr>
        <w:rPr>
          <w:rFonts w:ascii="Cambria" w:hAnsi="Cambria"/>
          <w:noProof/>
          <w:sz w:val="22"/>
          <w:szCs w:val="22"/>
          <w:lang w:val="sr-Latn-BA"/>
        </w:rPr>
      </w:pPr>
    </w:p>
    <w:p w14:paraId="0A50C853" w14:textId="77777777" w:rsidR="00B37944" w:rsidRPr="006424B3" w:rsidRDefault="00B37944">
      <w:pPr>
        <w:rPr>
          <w:rFonts w:ascii="Cambria" w:hAnsi="Cambria"/>
          <w:noProof/>
          <w:sz w:val="22"/>
          <w:szCs w:val="22"/>
          <w:lang w:val="sr-Latn-BA"/>
        </w:rPr>
      </w:pPr>
    </w:p>
    <w:p w14:paraId="5821BDD7" w14:textId="77777777" w:rsidR="00B37944" w:rsidRPr="006424B3" w:rsidRDefault="00B37944">
      <w:pPr>
        <w:rPr>
          <w:rFonts w:ascii="Cambria" w:hAnsi="Cambria"/>
          <w:noProof/>
          <w:sz w:val="22"/>
          <w:szCs w:val="22"/>
          <w:lang w:val="sr-Latn-BA"/>
        </w:rPr>
      </w:pPr>
    </w:p>
    <w:p w14:paraId="217CC8F5" w14:textId="77777777" w:rsidR="00B37944" w:rsidRPr="006424B3" w:rsidRDefault="00B37944">
      <w:pPr>
        <w:rPr>
          <w:rFonts w:ascii="Cambria" w:hAnsi="Cambria"/>
          <w:noProof/>
          <w:sz w:val="22"/>
          <w:szCs w:val="22"/>
          <w:lang w:val="sr-Latn-BA"/>
        </w:rPr>
      </w:pPr>
    </w:p>
    <w:p w14:paraId="4B362F67" w14:textId="77777777" w:rsidR="00B37944" w:rsidRPr="006424B3" w:rsidRDefault="00B37944">
      <w:pPr>
        <w:rPr>
          <w:rFonts w:ascii="Cambria" w:hAnsi="Cambria"/>
          <w:noProof/>
          <w:sz w:val="22"/>
          <w:szCs w:val="22"/>
          <w:lang w:val="sr-Latn-BA"/>
        </w:rPr>
      </w:pPr>
    </w:p>
    <w:p w14:paraId="78C5586F" w14:textId="77777777" w:rsidR="00B37944" w:rsidRPr="006424B3" w:rsidRDefault="00B37944">
      <w:pPr>
        <w:rPr>
          <w:rFonts w:ascii="Cambria" w:hAnsi="Cambria"/>
          <w:noProof/>
          <w:sz w:val="22"/>
          <w:szCs w:val="22"/>
          <w:lang w:val="sr-Latn-BA"/>
        </w:rPr>
      </w:pPr>
    </w:p>
    <w:p w14:paraId="45DE883E" w14:textId="77777777" w:rsidR="00B37944" w:rsidRPr="006424B3" w:rsidRDefault="00B37944">
      <w:pPr>
        <w:rPr>
          <w:rFonts w:ascii="Cambria" w:hAnsi="Cambria"/>
          <w:noProof/>
          <w:sz w:val="22"/>
          <w:szCs w:val="22"/>
          <w:lang w:val="sr-Latn-BA"/>
        </w:rPr>
      </w:pPr>
    </w:p>
    <w:p w14:paraId="051D9E59" w14:textId="77777777" w:rsidR="00B37944" w:rsidRPr="006424B3" w:rsidRDefault="00B37944">
      <w:pPr>
        <w:rPr>
          <w:rFonts w:ascii="Cambria" w:hAnsi="Cambria"/>
          <w:noProof/>
          <w:sz w:val="22"/>
          <w:szCs w:val="22"/>
          <w:lang w:val="sr-Latn-BA"/>
        </w:rPr>
      </w:pPr>
    </w:p>
    <w:p w14:paraId="5C507E6B" w14:textId="77777777" w:rsidR="00B37944" w:rsidRPr="006424B3" w:rsidRDefault="00B37944">
      <w:pPr>
        <w:rPr>
          <w:rFonts w:ascii="Cambria" w:hAnsi="Cambria"/>
          <w:noProof/>
          <w:sz w:val="22"/>
          <w:szCs w:val="22"/>
          <w:lang w:val="sr-Latn-BA"/>
        </w:rPr>
      </w:pPr>
    </w:p>
    <w:p w14:paraId="170EB0A8" w14:textId="77777777" w:rsidR="00B37944" w:rsidRPr="006424B3" w:rsidRDefault="00B37944">
      <w:pPr>
        <w:rPr>
          <w:rFonts w:ascii="Cambria" w:hAnsi="Cambria"/>
          <w:noProof/>
          <w:sz w:val="22"/>
          <w:szCs w:val="22"/>
          <w:lang w:val="sr-Latn-BA"/>
        </w:rPr>
      </w:pPr>
    </w:p>
    <w:p w14:paraId="299BD215" w14:textId="77777777" w:rsidR="00B37944" w:rsidRPr="006424B3" w:rsidRDefault="00B37944">
      <w:pPr>
        <w:rPr>
          <w:rFonts w:ascii="Cambria" w:hAnsi="Cambria"/>
          <w:noProof/>
          <w:sz w:val="22"/>
          <w:szCs w:val="22"/>
          <w:lang w:val="sr-Latn-BA"/>
        </w:rPr>
      </w:pPr>
    </w:p>
    <w:p w14:paraId="59D73A2E" w14:textId="77777777" w:rsidR="00B37944" w:rsidRPr="006424B3" w:rsidRDefault="00B37944">
      <w:pPr>
        <w:rPr>
          <w:rFonts w:ascii="Cambria" w:hAnsi="Cambria"/>
          <w:noProof/>
          <w:sz w:val="22"/>
          <w:szCs w:val="22"/>
          <w:lang w:val="sr-Latn-BA"/>
        </w:rPr>
      </w:pPr>
    </w:p>
    <w:p w14:paraId="30DFECA6" w14:textId="77777777" w:rsidR="00B37944" w:rsidRPr="006424B3" w:rsidRDefault="00B37944">
      <w:pPr>
        <w:rPr>
          <w:rFonts w:ascii="Cambria" w:hAnsi="Cambria"/>
          <w:noProof/>
          <w:sz w:val="22"/>
          <w:szCs w:val="22"/>
          <w:lang w:val="sr-Latn-BA"/>
        </w:rPr>
      </w:pPr>
    </w:p>
    <w:p w14:paraId="19867266" w14:textId="77777777" w:rsidR="00B37944" w:rsidRPr="006424B3" w:rsidRDefault="00B37944">
      <w:pPr>
        <w:rPr>
          <w:rFonts w:ascii="Cambria" w:hAnsi="Cambria"/>
          <w:noProof/>
          <w:sz w:val="22"/>
          <w:szCs w:val="22"/>
          <w:lang w:val="sr-Latn-BA"/>
        </w:rPr>
      </w:pPr>
    </w:p>
    <w:p w14:paraId="55DF8194" w14:textId="77777777" w:rsidR="00B37944" w:rsidRPr="006424B3" w:rsidRDefault="00B37944">
      <w:pPr>
        <w:rPr>
          <w:rFonts w:ascii="Cambria" w:hAnsi="Cambria"/>
          <w:noProof/>
          <w:sz w:val="22"/>
          <w:szCs w:val="22"/>
          <w:lang w:val="sr-Latn-BA"/>
        </w:rPr>
      </w:pPr>
    </w:p>
    <w:p w14:paraId="7A7AF263" w14:textId="77777777" w:rsidR="00B37944" w:rsidRPr="006424B3" w:rsidRDefault="00B37944">
      <w:pPr>
        <w:rPr>
          <w:rFonts w:ascii="Cambria" w:hAnsi="Cambria"/>
          <w:b/>
          <w:noProof/>
          <w:sz w:val="28"/>
          <w:szCs w:val="28"/>
          <w:lang w:val="sr-Latn-BA"/>
        </w:rPr>
      </w:pPr>
    </w:p>
    <w:p w14:paraId="59B1C82F" w14:textId="77777777" w:rsidR="0098067F" w:rsidRPr="006424B3" w:rsidRDefault="00DB7F35" w:rsidP="00D92A49">
      <w:pPr>
        <w:jc w:val="center"/>
        <w:rPr>
          <w:rFonts w:ascii="Cambria" w:hAnsi="Cambria"/>
          <w:b/>
          <w:i/>
          <w:iCs/>
          <w:noProof/>
          <w:sz w:val="28"/>
          <w:szCs w:val="28"/>
          <w:lang w:val="sr-Latn-BA"/>
        </w:rPr>
      </w:pPr>
      <w:r w:rsidRPr="006424B3">
        <w:rPr>
          <w:rFonts w:ascii="Cambria" w:hAnsi="Cambria"/>
          <w:b/>
          <w:i/>
          <w:iCs/>
          <w:noProof/>
          <w:sz w:val="28"/>
          <w:szCs w:val="28"/>
          <w:lang w:val="sr-Latn-BA"/>
        </w:rPr>
        <w:t>NAPOMENE</w:t>
      </w:r>
    </w:p>
    <w:p w14:paraId="1459959C" w14:textId="77777777" w:rsidR="00210AB5" w:rsidRPr="006424B3" w:rsidRDefault="00210AB5" w:rsidP="00D92A49">
      <w:pPr>
        <w:jc w:val="center"/>
        <w:rPr>
          <w:rFonts w:ascii="Cambria" w:hAnsi="Cambria"/>
          <w:b/>
          <w:i/>
          <w:iCs/>
          <w:noProof/>
          <w:sz w:val="28"/>
          <w:szCs w:val="28"/>
          <w:lang w:val="sr-Latn-BA"/>
        </w:rPr>
      </w:pPr>
    </w:p>
    <w:p w14:paraId="4BCD2FAD" w14:textId="77777777" w:rsidR="00210AB5" w:rsidRPr="006424B3" w:rsidRDefault="00DD3A57" w:rsidP="00D92A49">
      <w:pPr>
        <w:jc w:val="center"/>
        <w:rPr>
          <w:rFonts w:ascii="Cambria" w:hAnsi="Cambria"/>
          <w:b/>
          <w:i/>
          <w:iCs/>
          <w:noProof/>
          <w:sz w:val="28"/>
          <w:szCs w:val="28"/>
          <w:lang w:val="sr-Latn-BA"/>
        </w:rPr>
      </w:pPr>
      <w:r w:rsidRPr="006424B3">
        <w:rPr>
          <w:rFonts w:ascii="Cambria" w:hAnsi="Cambria"/>
          <w:b/>
          <w:i/>
          <w:iCs/>
          <w:noProof/>
          <w:sz w:val="28"/>
          <w:szCs w:val="28"/>
          <w:lang w:val="sr-Latn-BA"/>
        </w:rPr>
        <w:t xml:space="preserve"> uz finansijske izvještaje </w:t>
      </w:r>
      <w:r w:rsidR="008752E3" w:rsidRPr="006424B3">
        <w:rPr>
          <w:rFonts w:ascii="Cambria" w:hAnsi="Cambria"/>
          <w:b/>
          <w:i/>
          <w:iCs/>
          <w:noProof/>
          <w:sz w:val="28"/>
          <w:szCs w:val="28"/>
          <w:lang w:val="sr-Latn-BA"/>
        </w:rPr>
        <w:t>OA</w:t>
      </w:r>
      <w:r w:rsidR="00007F24" w:rsidRPr="006424B3">
        <w:rPr>
          <w:rFonts w:ascii="Cambria" w:hAnsi="Cambria"/>
          <w:b/>
          <w:i/>
          <w:iCs/>
          <w:noProof/>
          <w:sz w:val="28"/>
          <w:szCs w:val="28"/>
          <w:lang w:val="sr-Latn-BA"/>
        </w:rPr>
        <w:t>IF</w:t>
      </w:r>
      <w:r w:rsidRPr="006424B3">
        <w:rPr>
          <w:rFonts w:ascii="Cambria" w:hAnsi="Cambria"/>
          <w:b/>
          <w:i/>
          <w:iCs/>
          <w:noProof/>
          <w:sz w:val="28"/>
          <w:szCs w:val="28"/>
          <w:lang w:val="sr-Latn-BA"/>
        </w:rPr>
        <w:t xml:space="preserve">-a </w:t>
      </w:r>
      <w:r w:rsidR="008752E3" w:rsidRPr="006424B3">
        <w:rPr>
          <w:rFonts w:ascii="Cambria" w:hAnsi="Cambria"/>
          <w:b/>
          <w:i/>
          <w:iCs/>
          <w:noProof/>
          <w:sz w:val="28"/>
          <w:szCs w:val="28"/>
          <w:lang w:val="sr-Latn-BA"/>
        </w:rPr>
        <w:t xml:space="preserve">Jahorina  Koin </w:t>
      </w:r>
    </w:p>
    <w:p w14:paraId="19AAEDEC" w14:textId="6A73AE0D" w:rsidR="00B37944" w:rsidRPr="006424B3" w:rsidRDefault="004E3F72" w:rsidP="00D92A49">
      <w:pPr>
        <w:jc w:val="center"/>
        <w:rPr>
          <w:rFonts w:ascii="Cambria" w:hAnsi="Cambria"/>
          <w:b/>
          <w:i/>
          <w:iCs/>
          <w:noProof/>
          <w:sz w:val="28"/>
          <w:szCs w:val="28"/>
          <w:lang w:val="sr-Latn-BA"/>
        </w:rPr>
      </w:pPr>
      <w:r w:rsidRPr="006424B3">
        <w:rPr>
          <w:rFonts w:ascii="Cambria" w:hAnsi="Cambria"/>
          <w:b/>
          <w:i/>
          <w:iCs/>
          <w:noProof/>
          <w:sz w:val="28"/>
          <w:szCs w:val="28"/>
          <w:lang w:val="sr-Latn-BA"/>
        </w:rPr>
        <w:t xml:space="preserve"> za period od </w:t>
      </w:r>
      <w:r w:rsidR="004D7613" w:rsidRPr="006424B3">
        <w:rPr>
          <w:rFonts w:ascii="Cambria" w:hAnsi="Cambria"/>
          <w:b/>
          <w:i/>
          <w:iCs/>
          <w:noProof/>
          <w:sz w:val="28"/>
          <w:szCs w:val="28"/>
          <w:lang w:val="sr-Latn-BA"/>
        </w:rPr>
        <w:t>01.01</w:t>
      </w:r>
      <w:r w:rsidR="00CC444B" w:rsidRPr="006424B3">
        <w:rPr>
          <w:rFonts w:ascii="Cambria" w:hAnsi="Cambria"/>
          <w:b/>
          <w:i/>
          <w:iCs/>
          <w:noProof/>
          <w:sz w:val="28"/>
          <w:szCs w:val="28"/>
          <w:lang w:val="sr-Latn-BA"/>
        </w:rPr>
        <w:t>.-</w:t>
      </w:r>
      <w:r w:rsidR="001B24E2" w:rsidRPr="006424B3">
        <w:rPr>
          <w:rFonts w:ascii="Cambria" w:hAnsi="Cambria"/>
          <w:b/>
          <w:i/>
          <w:iCs/>
          <w:noProof/>
          <w:sz w:val="28"/>
          <w:szCs w:val="28"/>
          <w:lang w:val="sr-Latn-BA"/>
        </w:rPr>
        <w:t xml:space="preserve"> </w:t>
      </w:r>
      <w:r w:rsidR="0066730B" w:rsidRPr="006424B3">
        <w:rPr>
          <w:rFonts w:ascii="Cambria" w:hAnsi="Cambria"/>
          <w:b/>
          <w:i/>
          <w:iCs/>
          <w:noProof/>
          <w:sz w:val="28"/>
          <w:szCs w:val="28"/>
          <w:lang w:val="sr-Latn-BA"/>
        </w:rPr>
        <w:t>3</w:t>
      </w:r>
      <w:r w:rsidR="00D67DD3">
        <w:rPr>
          <w:rFonts w:ascii="Cambria" w:hAnsi="Cambria"/>
          <w:b/>
          <w:i/>
          <w:iCs/>
          <w:noProof/>
          <w:sz w:val="28"/>
          <w:szCs w:val="28"/>
          <w:lang w:val="sr-Latn-BA"/>
        </w:rPr>
        <w:t>1</w:t>
      </w:r>
      <w:r w:rsidR="001F5E10" w:rsidRPr="006424B3">
        <w:rPr>
          <w:rFonts w:ascii="Cambria" w:hAnsi="Cambria"/>
          <w:b/>
          <w:i/>
          <w:iCs/>
          <w:noProof/>
          <w:sz w:val="28"/>
          <w:szCs w:val="28"/>
          <w:lang w:val="sr-Latn-BA"/>
        </w:rPr>
        <w:t>.</w:t>
      </w:r>
      <w:r w:rsidR="00D67DD3">
        <w:rPr>
          <w:rFonts w:ascii="Cambria" w:hAnsi="Cambria"/>
          <w:b/>
          <w:i/>
          <w:iCs/>
          <w:noProof/>
          <w:sz w:val="28"/>
          <w:szCs w:val="28"/>
          <w:lang w:val="sr-Latn-BA"/>
        </w:rPr>
        <w:t>12</w:t>
      </w:r>
      <w:r w:rsidR="001F5E10" w:rsidRPr="006424B3">
        <w:rPr>
          <w:rFonts w:ascii="Cambria" w:hAnsi="Cambria"/>
          <w:b/>
          <w:i/>
          <w:iCs/>
          <w:noProof/>
          <w:sz w:val="28"/>
          <w:szCs w:val="28"/>
          <w:lang w:val="sr-Latn-BA"/>
        </w:rPr>
        <w:t>.</w:t>
      </w:r>
      <w:r w:rsidR="004D7275" w:rsidRPr="006424B3">
        <w:rPr>
          <w:rFonts w:ascii="Cambria" w:hAnsi="Cambria"/>
          <w:b/>
          <w:i/>
          <w:iCs/>
          <w:noProof/>
          <w:sz w:val="28"/>
          <w:szCs w:val="28"/>
          <w:lang w:val="sr-Latn-BA"/>
        </w:rPr>
        <w:t>20</w:t>
      </w:r>
      <w:r w:rsidR="00330B32" w:rsidRPr="006424B3">
        <w:rPr>
          <w:rFonts w:ascii="Cambria" w:hAnsi="Cambria"/>
          <w:b/>
          <w:i/>
          <w:iCs/>
          <w:noProof/>
          <w:sz w:val="28"/>
          <w:szCs w:val="28"/>
          <w:lang w:val="sr-Latn-BA"/>
        </w:rPr>
        <w:t>2</w:t>
      </w:r>
      <w:r w:rsidR="00067A94">
        <w:rPr>
          <w:rFonts w:ascii="Cambria" w:hAnsi="Cambria"/>
          <w:b/>
          <w:i/>
          <w:iCs/>
          <w:noProof/>
          <w:sz w:val="28"/>
          <w:szCs w:val="28"/>
          <w:lang w:val="sr-Latn-BA"/>
        </w:rPr>
        <w:t>4</w:t>
      </w:r>
      <w:r w:rsidR="00DD3A57" w:rsidRPr="006424B3">
        <w:rPr>
          <w:rFonts w:ascii="Cambria" w:hAnsi="Cambria"/>
          <w:b/>
          <w:i/>
          <w:iCs/>
          <w:noProof/>
          <w:sz w:val="28"/>
          <w:szCs w:val="28"/>
          <w:lang w:val="sr-Latn-BA"/>
        </w:rPr>
        <w:t>. godine</w:t>
      </w:r>
    </w:p>
    <w:p w14:paraId="4D7623B1" w14:textId="77777777" w:rsidR="00B37944" w:rsidRPr="006424B3" w:rsidRDefault="00B37944" w:rsidP="00B37944">
      <w:pPr>
        <w:jc w:val="center"/>
        <w:rPr>
          <w:rFonts w:ascii="Cambria" w:hAnsi="Cambria"/>
          <w:i/>
          <w:iCs/>
          <w:noProof/>
          <w:sz w:val="22"/>
          <w:szCs w:val="22"/>
          <w:lang w:val="sr-Latn-BA"/>
        </w:rPr>
      </w:pPr>
    </w:p>
    <w:p w14:paraId="4844168A" w14:textId="77777777" w:rsidR="00B37944" w:rsidRPr="006424B3" w:rsidRDefault="00B37944" w:rsidP="00B37944">
      <w:pPr>
        <w:jc w:val="center"/>
        <w:rPr>
          <w:rFonts w:ascii="Cambria" w:hAnsi="Cambria"/>
          <w:noProof/>
          <w:sz w:val="22"/>
          <w:szCs w:val="22"/>
          <w:lang w:val="sr-Latn-BA"/>
        </w:rPr>
      </w:pPr>
    </w:p>
    <w:p w14:paraId="772192C8" w14:textId="77777777" w:rsidR="00B37944" w:rsidRPr="006424B3" w:rsidRDefault="00B37944" w:rsidP="00B37944">
      <w:pPr>
        <w:jc w:val="center"/>
        <w:rPr>
          <w:rFonts w:ascii="Cambria" w:hAnsi="Cambria"/>
          <w:noProof/>
          <w:sz w:val="22"/>
          <w:szCs w:val="22"/>
          <w:lang w:val="sr-Latn-BA"/>
        </w:rPr>
      </w:pPr>
    </w:p>
    <w:p w14:paraId="5E08FD03" w14:textId="77777777" w:rsidR="00B37944" w:rsidRPr="006424B3" w:rsidRDefault="00B37944" w:rsidP="00B37944">
      <w:pPr>
        <w:jc w:val="center"/>
        <w:rPr>
          <w:rFonts w:ascii="Cambria" w:hAnsi="Cambria"/>
          <w:noProof/>
          <w:sz w:val="22"/>
          <w:szCs w:val="22"/>
          <w:lang w:val="sr-Latn-BA"/>
        </w:rPr>
      </w:pPr>
    </w:p>
    <w:p w14:paraId="19DF4DC2" w14:textId="77777777" w:rsidR="00B37944" w:rsidRPr="006424B3" w:rsidRDefault="00B37944" w:rsidP="00B37944">
      <w:pPr>
        <w:jc w:val="center"/>
        <w:rPr>
          <w:rFonts w:ascii="Cambria" w:hAnsi="Cambria"/>
          <w:noProof/>
          <w:sz w:val="22"/>
          <w:szCs w:val="22"/>
          <w:lang w:val="sr-Latn-BA"/>
        </w:rPr>
      </w:pPr>
    </w:p>
    <w:p w14:paraId="26B6D402" w14:textId="77777777" w:rsidR="00B37944" w:rsidRPr="006424B3" w:rsidRDefault="00B37944" w:rsidP="00B37944">
      <w:pPr>
        <w:jc w:val="center"/>
        <w:rPr>
          <w:rFonts w:ascii="Cambria" w:hAnsi="Cambria"/>
          <w:noProof/>
          <w:sz w:val="22"/>
          <w:szCs w:val="22"/>
          <w:lang w:val="sr-Latn-BA"/>
        </w:rPr>
      </w:pPr>
    </w:p>
    <w:p w14:paraId="4EF023F9" w14:textId="77777777" w:rsidR="00B37944" w:rsidRPr="006424B3" w:rsidRDefault="00B37944" w:rsidP="00B37944">
      <w:pPr>
        <w:jc w:val="both"/>
        <w:rPr>
          <w:rFonts w:ascii="Cambria" w:hAnsi="Cambria"/>
          <w:noProof/>
          <w:sz w:val="22"/>
          <w:szCs w:val="22"/>
          <w:lang w:val="sr-Latn-BA"/>
        </w:rPr>
      </w:pPr>
    </w:p>
    <w:p w14:paraId="6DA0D9BA" w14:textId="77777777" w:rsidR="00B37944" w:rsidRPr="006424B3" w:rsidRDefault="00B37944" w:rsidP="00B37944">
      <w:pPr>
        <w:jc w:val="both"/>
        <w:rPr>
          <w:rFonts w:ascii="Cambria" w:hAnsi="Cambria"/>
          <w:noProof/>
          <w:sz w:val="22"/>
          <w:szCs w:val="22"/>
          <w:lang w:val="sr-Latn-BA"/>
        </w:rPr>
      </w:pPr>
    </w:p>
    <w:p w14:paraId="4ECD9F58" w14:textId="77777777" w:rsidR="00B37944" w:rsidRPr="006424B3" w:rsidRDefault="00B37944" w:rsidP="00B37944">
      <w:pPr>
        <w:jc w:val="both"/>
        <w:rPr>
          <w:rFonts w:ascii="Cambria" w:hAnsi="Cambria"/>
          <w:noProof/>
          <w:sz w:val="22"/>
          <w:szCs w:val="22"/>
          <w:lang w:val="sr-Latn-BA"/>
        </w:rPr>
      </w:pPr>
    </w:p>
    <w:p w14:paraId="4166C6AA" w14:textId="77777777" w:rsidR="00B37944" w:rsidRPr="006424B3" w:rsidRDefault="00B37944" w:rsidP="00B37944">
      <w:pPr>
        <w:jc w:val="both"/>
        <w:rPr>
          <w:rFonts w:ascii="Cambria" w:hAnsi="Cambria"/>
          <w:noProof/>
          <w:sz w:val="22"/>
          <w:szCs w:val="22"/>
          <w:lang w:val="sr-Latn-BA"/>
        </w:rPr>
      </w:pPr>
    </w:p>
    <w:p w14:paraId="1EE03D7A" w14:textId="77777777" w:rsidR="00B37944" w:rsidRPr="006424B3" w:rsidRDefault="00B37944" w:rsidP="00B37944">
      <w:pPr>
        <w:jc w:val="both"/>
        <w:rPr>
          <w:rFonts w:ascii="Cambria" w:hAnsi="Cambria"/>
          <w:noProof/>
          <w:sz w:val="22"/>
          <w:szCs w:val="22"/>
          <w:lang w:val="sr-Latn-BA"/>
        </w:rPr>
      </w:pPr>
    </w:p>
    <w:p w14:paraId="1BA3435F" w14:textId="77777777" w:rsidR="00B37944" w:rsidRPr="006424B3" w:rsidRDefault="00B37944" w:rsidP="00B37944">
      <w:pPr>
        <w:jc w:val="both"/>
        <w:rPr>
          <w:rFonts w:ascii="Cambria" w:hAnsi="Cambria"/>
          <w:noProof/>
          <w:sz w:val="22"/>
          <w:szCs w:val="22"/>
          <w:lang w:val="sr-Latn-BA"/>
        </w:rPr>
      </w:pPr>
    </w:p>
    <w:p w14:paraId="615C4304" w14:textId="77777777" w:rsidR="00B37944" w:rsidRPr="006424B3" w:rsidRDefault="00B37944" w:rsidP="00B37944">
      <w:pPr>
        <w:jc w:val="both"/>
        <w:rPr>
          <w:rFonts w:ascii="Cambria" w:hAnsi="Cambria"/>
          <w:noProof/>
          <w:sz w:val="22"/>
          <w:szCs w:val="22"/>
          <w:lang w:val="sr-Latn-BA"/>
        </w:rPr>
      </w:pPr>
    </w:p>
    <w:p w14:paraId="2B83D070" w14:textId="77777777" w:rsidR="00B37944" w:rsidRPr="006424B3" w:rsidRDefault="00B37944" w:rsidP="00B37944">
      <w:pPr>
        <w:jc w:val="both"/>
        <w:rPr>
          <w:rFonts w:ascii="Cambria" w:hAnsi="Cambria"/>
          <w:noProof/>
          <w:sz w:val="22"/>
          <w:szCs w:val="22"/>
          <w:lang w:val="sr-Latn-BA"/>
        </w:rPr>
      </w:pPr>
    </w:p>
    <w:p w14:paraId="7AE0264F" w14:textId="77777777" w:rsidR="00B37944" w:rsidRPr="006424B3" w:rsidRDefault="00B37944" w:rsidP="00B37944">
      <w:pPr>
        <w:jc w:val="both"/>
        <w:rPr>
          <w:rFonts w:ascii="Cambria" w:hAnsi="Cambria"/>
          <w:noProof/>
          <w:sz w:val="22"/>
          <w:szCs w:val="22"/>
          <w:lang w:val="sr-Latn-BA"/>
        </w:rPr>
      </w:pPr>
    </w:p>
    <w:p w14:paraId="042AABCD" w14:textId="77777777" w:rsidR="00B37944" w:rsidRPr="006424B3" w:rsidRDefault="00B37944" w:rsidP="00B37944">
      <w:pPr>
        <w:jc w:val="both"/>
        <w:rPr>
          <w:rFonts w:ascii="Cambria" w:hAnsi="Cambria"/>
          <w:noProof/>
          <w:sz w:val="22"/>
          <w:szCs w:val="22"/>
          <w:lang w:val="sr-Latn-BA"/>
        </w:rPr>
      </w:pPr>
    </w:p>
    <w:p w14:paraId="740D77C4" w14:textId="77777777" w:rsidR="00B37944" w:rsidRPr="006424B3" w:rsidRDefault="00B37944" w:rsidP="00B37944">
      <w:pPr>
        <w:jc w:val="both"/>
        <w:rPr>
          <w:rFonts w:ascii="Cambria" w:hAnsi="Cambria"/>
          <w:noProof/>
          <w:sz w:val="22"/>
          <w:szCs w:val="22"/>
          <w:lang w:val="sr-Latn-BA"/>
        </w:rPr>
      </w:pPr>
    </w:p>
    <w:p w14:paraId="43B87F0F" w14:textId="77777777" w:rsidR="008752E3" w:rsidRPr="006424B3" w:rsidRDefault="008752E3" w:rsidP="00B37944">
      <w:pPr>
        <w:jc w:val="both"/>
        <w:rPr>
          <w:rFonts w:ascii="Cambria" w:hAnsi="Cambria"/>
          <w:noProof/>
          <w:sz w:val="22"/>
          <w:szCs w:val="22"/>
          <w:lang w:val="sr-Latn-BA"/>
        </w:rPr>
      </w:pPr>
    </w:p>
    <w:p w14:paraId="17EF28CF" w14:textId="77777777" w:rsidR="00B37944" w:rsidRPr="006424B3" w:rsidRDefault="00B37944" w:rsidP="00B37944">
      <w:pPr>
        <w:jc w:val="both"/>
        <w:rPr>
          <w:rFonts w:ascii="Cambria" w:hAnsi="Cambria"/>
          <w:b/>
          <w:noProof/>
          <w:sz w:val="22"/>
          <w:szCs w:val="22"/>
          <w:lang w:val="sr-Latn-BA"/>
        </w:rPr>
      </w:pPr>
    </w:p>
    <w:p w14:paraId="4CFD562E" w14:textId="77777777" w:rsidR="00B37944" w:rsidRPr="006424B3" w:rsidRDefault="00B37944" w:rsidP="00B37944">
      <w:pPr>
        <w:jc w:val="center"/>
        <w:rPr>
          <w:rFonts w:ascii="Cambria" w:hAnsi="Cambria"/>
          <w:noProof/>
          <w:sz w:val="22"/>
          <w:szCs w:val="22"/>
          <w:lang w:val="sr-Latn-BA"/>
        </w:rPr>
      </w:pPr>
    </w:p>
    <w:p w14:paraId="2DDFF968" w14:textId="794175C2" w:rsidR="00F87CF5" w:rsidRPr="006424B3" w:rsidRDefault="00506F62">
      <w:pPr>
        <w:rPr>
          <w:rFonts w:ascii="Cambria" w:hAnsi="Cambria"/>
          <w:noProof/>
          <w:sz w:val="22"/>
          <w:szCs w:val="22"/>
          <w:lang w:val="sr-Latn-BA"/>
        </w:rPr>
      </w:pPr>
      <w:r w:rsidRPr="006424B3">
        <w:rPr>
          <w:rFonts w:ascii="Cambria" w:hAnsi="Cambria"/>
          <w:noProof/>
          <w:sz w:val="22"/>
          <w:szCs w:val="22"/>
          <w:lang w:val="sr-Latn-BA"/>
        </w:rPr>
        <w:t xml:space="preserve">Banja Luka, </w:t>
      </w:r>
      <w:r w:rsidR="00CA11A5">
        <w:rPr>
          <w:rFonts w:ascii="Cambria" w:hAnsi="Cambria"/>
          <w:noProof/>
          <w:sz w:val="22"/>
          <w:szCs w:val="22"/>
          <w:lang w:val="sr-Latn-BA"/>
        </w:rPr>
        <w:t>Februar</w:t>
      </w:r>
      <w:r w:rsidR="00775450" w:rsidRPr="006424B3">
        <w:rPr>
          <w:rFonts w:ascii="Cambria" w:hAnsi="Cambria"/>
          <w:noProof/>
          <w:sz w:val="22"/>
          <w:szCs w:val="22"/>
          <w:lang w:val="sr-Latn-BA"/>
        </w:rPr>
        <w:t xml:space="preserve"> </w:t>
      </w:r>
      <w:r w:rsidR="002130BF" w:rsidRPr="006424B3">
        <w:rPr>
          <w:rFonts w:ascii="Cambria" w:hAnsi="Cambria"/>
          <w:noProof/>
          <w:sz w:val="22"/>
          <w:szCs w:val="22"/>
          <w:lang w:val="sr-Latn-BA"/>
        </w:rPr>
        <w:t>202</w:t>
      </w:r>
      <w:r w:rsidR="00CA11A5">
        <w:rPr>
          <w:rFonts w:ascii="Cambria" w:hAnsi="Cambria"/>
          <w:noProof/>
          <w:sz w:val="22"/>
          <w:szCs w:val="22"/>
          <w:lang w:val="sr-Latn-BA"/>
        </w:rPr>
        <w:t>5</w:t>
      </w:r>
      <w:r w:rsidR="00B75BE9" w:rsidRPr="006424B3">
        <w:rPr>
          <w:rFonts w:ascii="Cambria" w:hAnsi="Cambria"/>
          <w:noProof/>
          <w:sz w:val="22"/>
          <w:szCs w:val="22"/>
          <w:lang w:val="sr-Latn-BA"/>
        </w:rPr>
        <w:t>. godine</w:t>
      </w:r>
    </w:p>
    <w:p w14:paraId="046FC455" w14:textId="77777777" w:rsidR="00861029" w:rsidRPr="006424B3" w:rsidRDefault="00861029">
      <w:pPr>
        <w:rPr>
          <w:rFonts w:ascii="Cambria" w:hAnsi="Cambria"/>
          <w:noProof/>
          <w:sz w:val="22"/>
          <w:szCs w:val="22"/>
          <w:lang w:val="sr-Latn-BA"/>
        </w:rPr>
      </w:pPr>
    </w:p>
    <w:p w14:paraId="4ECB912C" w14:textId="77777777" w:rsidR="00861029" w:rsidRPr="006424B3" w:rsidRDefault="00861029">
      <w:pPr>
        <w:rPr>
          <w:rFonts w:ascii="Cambria" w:hAnsi="Cambria"/>
          <w:noProof/>
          <w:sz w:val="22"/>
          <w:szCs w:val="22"/>
          <w:lang w:val="sr-Latn-BA"/>
        </w:rPr>
      </w:pPr>
    </w:p>
    <w:p w14:paraId="728D29D6" w14:textId="77777777" w:rsidR="00861029" w:rsidRDefault="00861029">
      <w:pPr>
        <w:rPr>
          <w:rFonts w:ascii="Cambria" w:hAnsi="Cambria"/>
          <w:noProof/>
          <w:sz w:val="22"/>
          <w:szCs w:val="22"/>
          <w:lang w:val="sr-Latn-BA"/>
        </w:rPr>
      </w:pPr>
    </w:p>
    <w:p w14:paraId="78FE7A73" w14:textId="77777777" w:rsidR="001044C3" w:rsidRDefault="001044C3">
      <w:pPr>
        <w:rPr>
          <w:rFonts w:ascii="Cambria" w:hAnsi="Cambria"/>
          <w:noProof/>
          <w:sz w:val="22"/>
          <w:szCs w:val="22"/>
          <w:lang w:val="sr-Latn-BA"/>
        </w:rPr>
      </w:pPr>
    </w:p>
    <w:p w14:paraId="549C6CDD" w14:textId="77777777" w:rsidR="001044C3" w:rsidRDefault="001044C3">
      <w:pPr>
        <w:rPr>
          <w:rFonts w:ascii="Cambria" w:hAnsi="Cambria"/>
          <w:noProof/>
          <w:sz w:val="22"/>
          <w:szCs w:val="22"/>
          <w:lang w:val="sr-Latn-BA"/>
        </w:rPr>
      </w:pPr>
    </w:p>
    <w:p w14:paraId="4BF0A37F" w14:textId="77777777" w:rsidR="001044C3" w:rsidRPr="006424B3" w:rsidRDefault="001044C3">
      <w:pPr>
        <w:rPr>
          <w:rFonts w:ascii="Cambria" w:hAnsi="Cambria"/>
          <w:noProof/>
          <w:sz w:val="22"/>
          <w:szCs w:val="22"/>
          <w:lang w:val="sr-Latn-BA"/>
        </w:rPr>
      </w:pPr>
    </w:p>
    <w:p w14:paraId="2C8AE351" w14:textId="77777777" w:rsidR="00861029" w:rsidRPr="006424B3" w:rsidRDefault="00861029">
      <w:pPr>
        <w:rPr>
          <w:rFonts w:ascii="Cambria" w:hAnsi="Cambria"/>
          <w:noProof/>
          <w:sz w:val="22"/>
          <w:szCs w:val="22"/>
          <w:lang w:val="sr-Latn-BA"/>
        </w:rPr>
      </w:pPr>
    </w:p>
    <w:p w14:paraId="673F558B" w14:textId="23B9D5F1" w:rsidR="00861029" w:rsidRPr="006424B3" w:rsidRDefault="00861029">
      <w:pPr>
        <w:rPr>
          <w:rFonts w:ascii="Cambria" w:hAnsi="Cambria"/>
          <w:noProof/>
          <w:sz w:val="22"/>
          <w:szCs w:val="22"/>
          <w:lang w:val="sr-Latn-BA"/>
        </w:rPr>
      </w:pPr>
    </w:p>
    <w:p w14:paraId="2B514BCE" w14:textId="77777777" w:rsidR="00155A9C" w:rsidRPr="006424B3" w:rsidRDefault="00155A9C">
      <w:pPr>
        <w:rPr>
          <w:rFonts w:ascii="Cambria" w:hAnsi="Cambria"/>
          <w:noProof/>
          <w:sz w:val="22"/>
          <w:szCs w:val="22"/>
          <w:lang w:val="sr-Latn-BA"/>
        </w:rPr>
      </w:pPr>
    </w:p>
    <w:p w14:paraId="25D04383" w14:textId="77777777" w:rsidR="00C165F8" w:rsidRPr="001707CF" w:rsidRDefault="00694AA1" w:rsidP="00C165F8">
      <w:pPr>
        <w:numPr>
          <w:ilvl w:val="0"/>
          <w:numId w:val="22"/>
        </w:numPr>
        <w:autoSpaceDE w:val="0"/>
        <w:autoSpaceDN w:val="0"/>
        <w:adjustRightInd w:val="0"/>
        <w:spacing w:after="120"/>
        <w:rPr>
          <w:rFonts w:ascii="Tahoma" w:hAnsi="Tahoma" w:cs="Tahoma"/>
          <w:b/>
          <w:sz w:val="23"/>
          <w:szCs w:val="23"/>
          <w:lang w:val="sr-Latn-BA"/>
        </w:rPr>
      </w:pPr>
      <w:r w:rsidRPr="006424B3">
        <w:rPr>
          <w:rFonts w:ascii="Cambria" w:hAnsi="Cambria"/>
          <w:noProof/>
          <w:sz w:val="22"/>
          <w:szCs w:val="22"/>
          <w:lang w:val="sr-Latn-BA"/>
        </w:rPr>
        <w:lastRenderedPageBreak/>
        <w:t xml:space="preserve"> </w:t>
      </w:r>
      <w:r w:rsidR="00C165F8" w:rsidRPr="001707CF">
        <w:rPr>
          <w:rFonts w:ascii="Tahoma" w:hAnsi="Tahoma" w:cs="Tahoma"/>
          <w:b/>
          <w:sz w:val="23"/>
          <w:szCs w:val="23"/>
          <w:lang w:val="sr-Latn-BA"/>
        </w:rPr>
        <w:t>OSNIVANjE I DJELATNOST FONDA</w:t>
      </w:r>
    </w:p>
    <w:p w14:paraId="41BACF22" w14:textId="77777777" w:rsidR="00C165F8" w:rsidRPr="001707CF" w:rsidRDefault="00C165F8" w:rsidP="00C165F8">
      <w:pPr>
        <w:spacing w:after="120"/>
        <w:jc w:val="both"/>
        <w:rPr>
          <w:rFonts w:ascii="Tahoma" w:hAnsi="Tahoma" w:cs="Tahoma"/>
          <w:color w:val="000000"/>
          <w:sz w:val="23"/>
          <w:szCs w:val="23"/>
          <w:lang w:val="sr-Latn-BA"/>
        </w:rPr>
      </w:pPr>
      <w:r w:rsidRPr="001707CF">
        <w:rPr>
          <w:rFonts w:ascii="Tahoma" w:hAnsi="Tahoma" w:cs="Tahoma"/>
          <w:color w:val="000000"/>
          <w:sz w:val="23"/>
          <w:szCs w:val="23"/>
          <w:lang w:val="sr-Latn-BA"/>
        </w:rPr>
        <w:t>Rješenjem Komisije za hartije od vrijednosti Republike Srpske Broj: 01-UP-51-472-3/18 odobreno je potpuno preoblikovanje AZIF-a u preoblikovanju „Jahorina Konseko Invest “ a.d.Pale. Navedenim  rješenjem  Društvu je odobren prenos cjelokupne imovine radi osnivanja Otvorenog akcijskog investicionog fonda “Jahorina Koin“ u skladu sa Odlukom o potpunom  preoblikovanju  AZIF-a u preoblikovanju „Jahorina Konseko Invest“ a.d. Pale  broj SK 10/18 od 05.07.2018. godine.</w:t>
      </w:r>
    </w:p>
    <w:p w14:paraId="36A91D53" w14:textId="77777777" w:rsidR="00C165F8" w:rsidRPr="001707CF" w:rsidRDefault="00C165F8" w:rsidP="00C165F8">
      <w:pPr>
        <w:spacing w:after="120"/>
        <w:jc w:val="both"/>
        <w:rPr>
          <w:rFonts w:ascii="Tahoma" w:hAnsi="Tahoma" w:cs="Tahoma"/>
          <w:color w:val="000000"/>
          <w:sz w:val="23"/>
          <w:szCs w:val="23"/>
          <w:lang w:val="sr-Latn-BA"/>
        </w:rPr>
      </w:pPr>
      <w:r w:rsidRPr="001707CF">
        <w:rPr>
          <w:rFonts w:ascii="Tahoma" w:hAnsi="Tahoma" w:cs="Tahoma"/>
          <w:color w:val="000000"/>
          <w:sz w:val="23"/>
          <w:szCs w:val="23"/>
          <w:lang w:val="sr-Latn-BA"/>
        </w:rPr>
        <w:t>Navedenom odlukom utvrđeno je da se cjelokupna imovina fonda ,prema vrijednosti na dan 30.04.2018. godine u iznosu od 4.702.993,39 KM , a koju čine hartije od vrijednosti , gotovina i potraživanja bude prenešena u otvoreni fond  “Jahorina Koin“ zajedno sa ukupnim obavezama fonda u iznosu od 108.822,13 KM.</w:t>
      </w:r>
    </w:p>
    <w:p w14:paraId="10D6C80E" w14:textId="77777777" w:rsidR="00C165F8" w:rsidRPr="001707CF" w:rsidRDefault="00C165F8" w:rsidP="00C165F8">
      <w:pPr>
        <w:spacing w:after="120"/>
        <w:jc w:val="both"/>
        <w:rPr>
          <w:rFonts w:ascii="Tahoma" w:hAnsi="Tahoma" w:cs="Tahoma"/>
          <w:color w:val="000000"/>
          <w:sz w:val="23"/>
          <w:szCs w:val="23"/>
          <w:lang w:val="sr-Latn-BA"/>
        </w:rPr>
      </w:pPr>
      <w:r w:rsidRPr="001707CF">
        <w:rPr>
          <w:rFonts w:ascii="Tahoma" w:hAnsi="Tahoma" w:cs="Tahoma"/>
          <w:color w:val="000000"/>
          <w:sz w:val="23"/>
          <w:szCs w:val="23"/>
          <w:lang w:val="sr-Latn-BA"/>
        </w:rPr>
        <w:t>Dana 19.11.2018. godine Centralni registar hartija od vrijednosti izvršio je registraciju hartija od vrijednosti rješenjem broj 01-15187/18, prva emisija-osnivanje otvorenog investicionog fonda. Udjeli su registrovani kod Komisije za hartije od vrijednosti Republike Srpske pod identifikacionim brojem JP-A-14.</w:t>
      </w:r>
    </w:p>
    <w:p w14:paraId="1AC57ED4" w14:textId="77777777" w:rsidR="00C165F8" w:rsidRPr="001707CF" w:rsidRDefault="00C165F8" w:rsidP="00C165F8">
      <w:pPr>
        <w:spacing w:after="120"/>
        <w:jc w:val="both"/>
        <w:rPr>
          <w:rFonts w:ascii="Tahoma" w:hAnsi="Tahoma" w:cs="Tahoma"/>
          <w:color w:val="000000"/>
          <w:sz w:val="23"/>
          <w:szCs w:val="23"/>
          <w:lang w:val="sr-Latn-BA"/>
        </w:rPr>
      </w:pPr>
      <w:r w:rsidRPr="001707CF">
        <w:rPr>
          <w:rFonts w:ascii="Tahoma" w:hAnsi="Tahoma" w:cs="Tahoma"/>
          <w:color w:val="000000"/>
          <w:sz w:val="23"/>
          <w:szCs w:val="23"/>
          <w:lang w:val="sr-Latn-BA"/>
        </w:rPr>
        <w:t>Nakon upisa prve emisije,udjeli fonda nose oznaku JKIP-U-A, a od 22.11.2018. godine kotiraju na Banjalučkoj berzi a.d. sve do 26.11.2021. godine, kada se udjeli isključuju sa službenog berzanskog tržišta – tržišta udjela otvorenih investicionih fondova.</w:t>
      </w:r>
    </w:p>
    <w:p w14:paraId="259F5845" w14:textId="77777777" w:rsidR="00C165F8" w:rsidRPr="001707CF" w:rsidRDefault="00C165F8" w:rsidP="00C165F8">
      <w:pPr>
        <w:jc w:val="both"/>
        <w:rPr>
          <w:rFonts w:ascii="Tahoma" w:hAnsi="Tahoma" w:cs="Tahoma"/>
          <w:color w:val="000000"/>
          <w:sz w:val="23"/>
          <w:szCs w:val="23"/>
          <w:lang w:val="sr-Latn-BA"/>
        </w:rPr>
      </w:pPr>
      <w:r w:rsidRPr="001707CF">
        <w:rPr>
          <w:rFonts w:ascii="Tahoma" w:hAnsi="Tahoma" w:cs="Tahoma"/>
          <w:color w:val="000000"/>
          <w:sz w:val="23"/>
          <w:szCs w:val="23"/>
          <w:lang w:val="sr-Latn-BA"/>
        </w:rPr>
        <w:t>Dana 05.07.</w:t>
      </w:r>
      <w:r>
        <w:rPr>
          <w:rFonts w:ascii="Tahoma" w:hAnsi="Tahoma" w:cs="Tahoma"/>
          <w:color w:val="000000"/>
          <w:sz w:val="23"/>
          <w:szCs w:val="23"/>
          <w:lang w:val="sr-Latn-BA"/>
        </w:rPr>
        <w:t>2023</w:t>
      </w:r>
      <w:r w:rsidRPr="001707CF">
        <w:rPr>
          <w:rFonts w:ascii="Tahoma" w:hAnsi="Tahoma" w:cs="Tahoma"/>
          <w:color w:val="000000"/>
          <w:sz w:val="23"/>
          <w:szCs w:val="23"/>
          <w:lang w:val="sr-Latn-BA"/>
        </w:rPr>
        <w:t>. godine Komisija za hartije od vrijednosti Republike Srpske donijela je Rješenje broj: 01-UP-51-322-7/22 kojim se izdaje dozvola za spajanje Otvorenog akcijskog investicionog fonda sa javnom ponudom „Polara Adriatic Fond“ i Otvorenog mješovitog investicionog fonda „Privrednik Invest“ pripajanjem otvorenom akcijskom investicionom fondu sa javonom ponudom  „Jahorina Koin“. U skladu sa Odlukom Društva za upravljanje „Polara Invest“ a.d. od dana 11.05.</w:t>
      </w:r>
      <w:r>
        <w:rPr>
          <w:rFonts w:ascii="Tahoma" w:hAnsi="Tahoma" w:cs="Tahoma"/>
          <w:color w:val="000000"/>
          <w:sz w:val="23"/>
          <w:szCs w:val="23"/>
          <w:lang w:val="sr-Latn-BA"/>
        </w:rPr>
        <w:t>2023</w:t>
      </w:r>
      <w:r w:rsidRPr="001707CF">
        <w:rPr>
          <w:rFonts w:ascii="Tahoma" w:hAnsi="Tahoma" w:cs="Tahoma"/>
          <w:color w:val="000000"/>
          <w:sz w:val="23"/>
          <w:szCs w:val="23"/>
          <w:lang w:val="sr-Latn-BA"/>
        </w:rPr>
        <w:t>. godine, kao dan pripajanja utvrđen je 09.09.</w:t>
      </w:r>
      <w:r>
        <w:rPr>
          <w:rFonts w:ascii="Tahoma" w:hAnsi="Tahoma" w:cs="Tahoma"/>
          <w:color w:val="000000"/>
          <w:sz w:val="23"/>
          <w:szCs w:val="23"/>
          <w:lang w:val="sr-Latn-BA"/>
        </w:rPr>
        <w:t>2023</w:t>
      </w:r>
      <w:r w:rsidRPr="001707CF">
        <w:rPr>
          <w:rFonts w:ascii="Tahoma" w:hAnsi="Tahoma" w:cs="Tahoma"/>
          <w:color w:val="000000"/>
          <w:sz w:val="23"/>
          <w:szCs w:val="23"/>
          <w:lang w:val="sr-Latn-BA"/>
        </w:rPr>
        <w:t>. godine. Na dan pripajanja sva imovina, prava i obaveze OAIF „Polara Adriatic Fund“ i OMIF „Privrednik Invest“ su preneseni na OAIF „Jahorina Koin“.</w:t>
      </w:r>
    </w:p>
    <w:p w14:paraId="6D0A0CF4" w14:textId="77777777" w:rsidR="00C165F8" w:rsidRPr="001707CF" w:rsidRDefault="00C165F8" w:rsidP="00C165F8">
      <w:pPr>
        <w:jc w:val="both"/>
        <w:rPr>
          <w:rFonts w:ascii="Tahoma" w:hAnsi="Tahoma" w:cs="Tahoma"/>
          <w:color w:val="000000"/>
          <w:sz w:val="23"/>
          <w:szCs w:val="23"/>
          <w:lang w:val="sr-Latn-BA"/>
        </w:rPr>
      </w:pPr>
    </w:p>
    <w:p w14:paraId="359FEE31" w14:textId="77777777" w:rsidR="00C165F8" w:rsidRPr="001707CF" w:rsidRDefault="00C165F8" w:rsidP="00C165F8">
      <w:pPr>
        <w:jc w:val="both"/>
        <w:rPr>
          <w:rFonts w:ascii="Tahoma" w:hAnsi="Tahoma" w:cs="Tahoma"/>
          <w:sz w:val="23"/>
          <w:szCs w:val="23"/>
          <w:lang w:val="sr-Cyrl-CS"/>
        </w:rPr>
      </w:pPr>
      <w:r w:rsidRPr="001707CF">
        <w:rPr>
          <w:rFonts w:ascii="Tahoma" w:hAnsi="Tahoma" w:cs="Tahoma"/>
          <w:color w:val="000000"/>
          <w:sz w:val="23"/>
          <w:szCs w:val="23"/>
          <w:lang w:val="sr-Latn-BA"/>
        </w:rPr>
        <w:t>Poslove depozitara Fonda obavlja Centralni registar hartija od vrijednosti Banja Luka (u daljem tekstu Depozitar ili CRHOV) na osnovu zakona, pravilnika i Ugovora o obavljanju poslova depozitara.</w:t>
      </w:r>
    </w:p>
    <w:p w14:paraId="5381A9E3" w14:textId="77777777" w:rsidR="00C165F8" w:rsidRPr="001707CF" w:rsidRDefault="00C165F8" w:rsidP="00C165F8">
      <w:pPr>
        <w:spacing w:after="120"/>
        <w:jc w:val="both"/>
        <w:rPr>
          <w:rFonts w:ascii="Tahoma" w:hAnsi="Tahoma" w:cs="Tahoma"/>
          <w:sz w:val="23"/>
          <w:szCs w:val="23"/>
          <w:lang w:val="sr-Cyrl-CS"/>
        </w:rPr>
      </w:pPr>
    </w:p>
    <w:p w14:paraId="305F4C5F" w14:textId="77777777" w:rsidR="00C165F8" w:rsidRPr="001707CF" w:rsidRDefault="00C165F8" w:rsidP="00C165F8">
      <w:pPr>
        <w:rPr>
          <w:rFonts w:ascii="Tahoma" w:hAnsi="Tahoma" w:cs="Tahoma"/>
          <w:b/>
          <w:sz w:val="23"/>
          <w:szCs w:val="23"/>
          <w:lang w:val="sr-Latn-BA"/>
        </w:rPr>
      </w:pPr>
      <w:r w:rsidRPr="001707CF">
        <w:rPr>
          <w:rFonts w:ascii="Tahoma" w:hAnsi="Tahoma" w:cs="Tahoma"/>
          <w:b/>
          <w:sz w:val="23"/>
          <w:szCs w:val="23"/>
          <w:lang w:val="sr-Latn-BA"/>
        </w:rPr>
        <w:br w:type="page"/>
      </w:r>
    </w:p>
    <w:p w14:paraId="5301A95C" w14:textId="77777777" w:rsidR="00C165F8" w:rsidRPr="001707CF" w:rsidRDefault="00C165F8" w:rsidP="00C165F8">
      <w:pPr>
        <w:spacing w:after="120"/>
        <w:jc w:val="both"/>
        <w:rPr>
          <w:rFonts w:ascii="Tahoma" w:hAnsi="Tahoma" w:cs="Tahoma"/>
          <w:b/>
          <w:sz w:val="23"/>
          <w:szCs w:val="23"/>
          <w:lang w:val="sr-Latn-BA"/>
        </w:rPr>
      </w:pPr>
    </w:p>
    <w:p w14:paraId="01CB07E4" w14:textId="77777777" w:rsidR="00C165F8" w:rsidRPr="001707CF" w:rsidRDefault="00C165F8" w:rsidP="00C165F8">
      <w:pPr>
        <w:numPr>
          <w:ilvl w:val="0"/>
          <w:numId w:val="22"/>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OSNOVE ZA SASTAVLJANJE I PREZENTACIJU FINANSIJSKIH IZVJEŠTAJA I KORIŠĆENJE PROCJENJIVANJA</w:t>
      </w:r>
    </w:p>
    <w:p w14:paraId="64FA64A8" w14:textId="77777777" w:rsidR="00C165F8" w:rsidRPr="001707CF" w:rsidRDefault="00C165F8" w:rsidP="00C165F8">
      <w:pPr>
        <w:numPr>
          <w:ilvl w:val="1"/>
          <w:numId w:val="22"/>
        </w:numPr>
        <w:autoSpaceDE w:val="0"/>
        <w:autoSpaceDN w:val="0"/>
        <w:adjustRightInd w:val="0"/>
        <w:spacing w:after="120"/>
        <w:ind w:hanging="508"/>
        <w:rPr>
          <w:rFonts w:ascii="Tahoma" w:hAnsi="Tahoma" w:cs="Tahoma"/>
          <w:b/>
          <w:bCs/>
          <w:color w:val="000000"/>
          <w:sz w:val="23"/>
          <w:szCs w:val="23"/>
          <w:lang w:val="sr-Latn-BA"/>
        </w:rPr>
      </w:pPr>
      <w:r w:rsidRPr="001707CF">
        <w:rPr>
          <w:rFonts w:ascii="Tahoma" w:hAnsi="Tahoma" w:cs="Tahoma"/>
          <w:b/>
          <w:bCs/>
          <w:color w:val="000000"/>
          <w:sz w:val="23"/>
          <w:szCs w:val="23"/>
          <w:lang w:val="sr-Latn-BA"/>
        </w:rPr>
        <w:t xml:space="preserve">Izjava o usaglašenosti </w:t>
      </w:r>
    </w:p>
    <w:p w14:paraId="74F46F07" w14:textId="77777777" w:rsidR="00C165F8" w:rsidRPr="001707CF" w:rsidRDefault="00C165F8" w:rsidP="00C165F8">
      <w:pPr>
        <w:spacing w:after="120"/>
        <w:jc w:val="both"/>
        <w:rPr>
          <w:rFonts w:ascii="Tahoma" w:hAnsi="Tahoma" w:cs="Tahoma"/>
          <w:bCs/>
          <w:color w:val="000000"/>
          <w:sz w:val="23"/>
          <w:szCs w:val="23"/>
          <w:lang w:val="sr-Latn-BA"/>
        </w:rPr>
      </w:pPr>
      <w:r w:rsidRPr="001707CF">
        <w:rPr>
          <w:rFonts w:ascii="Tahoma" w:hAnsi="Tahoma" w:cs="Tahoma"/>
          <w:bCs/>
          <w:color w:val="000000"/>
          <w:sz w:val="23"/>
          <w:szCs w:val="23"/>
          <w:lang w:val="sr-Latn-BA"/>
        </w:rPr>
        <w:t>Priloženi finansijski izvještaji predstavljaju finansijske izvještaje OAIF „JAHORINA KOIN“ i sastavljeni u skladu sa računovodstvenim propisima Republike Spske.</w:t>
      </w:r>
    </w:p>
    <w:p w14:paraId="605442E5" w14:textId="77777777" w:rsidR="00C165F8" w:rsidRPr="001707CF" w:rsidRDefault="00C165F8" w:rsidP="00C165F8">
      <w:pPr>
        <w:autoSpaceDE w:val="0"/>
        <w:autoSpaceDN w:val="0"/>
        <w:adjustRightInd w:val="0"/>
        <w:spacing w:after="120"/>
        <w:ind w:left="284"/>
        <w:rPr>
          <w:rFonts w:ascii="Tahoma" w:hAnsi="Tahoma" w:cs="Tahoma"/>
          <w:b/>
          <w:bCs/>
          <w:color w:val="000000"/>
          <w:sz w:val="23"/>
          <w:szCs w:val="23"/>
          <w:lang w:val="sr-Latn-BA"/>
        </w:rPr>
      </w:pPr>
    </w:p>
    <w:p w14:paraId="1B974600" w14:textId="77777777" w:rsidR="00C165F8" w:rsidRPr="001707CF" w:rsidRDefault="00C165F8" w:rsidP="00C165F8">
      <w:pPr>
        <w:numPr>
          <w:ilvl w:val="1"/>
          <w:numId w:val="22"/>
        </w:numPr>
        <w:autoSpaceDE w:val="0"/>
        <w:autoSpaceDN w:val="0"/>
        <w:adjustRightInd w:val="0"/>
        <w:spacing w:after="120"/>
        <w:rPr>
          <w:rFonts w:ascii="Tahoma" w:hAnsi="Tahoma" w:cs="Tahoma"/>
          <w:b/>
          <w:bCs/>
          <w:color w:val="000000"/>
          <w:sz w:val="23"/>
          <w:szCs w:val="23"/>
          <w:lang w:val="sr-Latn-BA"/>
        </w:rPr>
      </w:pPr>
      <w:r w:rsidRPr="001707CF">
        <w:rPr>
          <w:rFonts w:ascii="Tahoma" w:hAnsi="Tahoma" w:cs="Tahoma"/>
          <w:b/>
          <w:bCs/>
          <w:color w:val="000000"/>
          <w:sz w:val="23"/>
          <w:szCs w:val="23"/>
          <w:lang w:val="sr-Latn-BA"/>
        </w:rPr>
        <w:t>Osnove za prezentaciju</w:t>
      </w:r>
    </w:p>
    <w:p w14:paraId="15653CAD" w14:textId="77777777" w:rsidR="00C165F8" w:rsidRPr="001707CF" w:rsidRDefault="00C165F8" w:rsidP="00C165F8">
      <w:pPr>
        <w:spacing w:after="120"/>
        <w:jc w:val="both"/>
        <w:rPr>
          <w:rFonts w:ascii="Tahoma" w:hAnsi="Tahoma" w:cs="Tahoma"/>
          <w:sz w:val="23"/>
          <w:szCs w:val="23"/>
          <w:lang w:val="sr-Latn-BA"/>
        </w:rPr>
      </w:pPr>
      <w:r w:rsidRPr="001707CF">
        <w:rPr>
          <w:rFonts w:ascii="Tahoma" w:hAnsi="Tahoma" w:cs="Tahoma"/>
          <w:sz w:val="23"/>
          <w:szCs w:val="23"/>
          <w:lang w:val="sr-Latn-BA"/>
        </w:rPr>
        <w:t>Finansijski izvještaji su sastavljeni za period koji se završava na dan 31.12.</w:t>
      </w:r>
      <w:r>
        <w:rPr>
          <w:rFonts w:ascii="Tahoma" w:hAnsi="Tahoma" w:cs="Tahoma"/>
          <w:sz w:val="23"/>
          <w:szCs w:val="23"/>
          <w:lang w:val="sr-Latn-BA"/>
        </w:rPr>
        <w:t>2024</w:t>
      </w:r>
      <w:r w:rsidRPr="001707CF">
        <w:rPr>
          <w:rFonts w:ascii="Tahoma" w:hAnsi="Tahoma" w:cs="Tahoma"/>
          <w:sz w:val="23"/>
          <w:szCs w:val="23"/>
          <w:lang w:val="sr-Latn-BA"/>
        </w:rPr>
        <w:t>. godine i izraženi su u konvertibilnim markama (KM). Uporedne podatke predstavljaju revidirani finansijski izvještaji za period koji se završio na dan 31.12.</w:t>
      </w:r>
      <w:r>
        <w:rPr>
          <w:rFonts w:ascii="Tahoma" w:hAnsi="Tahoma" w:cs="Tahoma"/>
          <w:sz w:val="23"/>
          <w:szCs w:val="23"/>
          <w:lang w:val="sr-Latn-BA"/>
        </w:rPr>
        <w:t>2023</w:t>
      </w:r>
      <w:r w:rsidRPr="001707CF">
        <w:rPr>
          <w:rFonts w:ascii="Tahoma" w:hAnsi="Tahoma" w:cs="Tahoma"/>
          <w:sz w:val="23"/>
          <w:szCs w:val="23"/>
          <w:lang w:val="sr-Latn-BA"/>
        </w:rPr>
        <w:t>. godine.</w:t>
      </w:r>
    </w:p>
    <w:p w14:paraId="67D5880B" w14:textId="77777777" w:rsidR="00C165F8" w:rsidRPr="001707CF" w:rsidRDefault="00C165F8" w:rsidP="00C165F8">
      <w:pPr>
        <w:spacing w:after="120"/>
        <w:jc w:val="both"/>
        <w:rPr>
          <w:rFonts w:ascii="Tahoma" w:hAnsi="Tahoma" w:cs="Tahoma"/>
          <w:color w:val="000000"/>
          <w:sz w:val="23"/>
          <w:szCs w:val="23"/>
          <w:lang w:val="sr-Latn-BA"/>
        </w:rPr>
      </w:pPr>
      <w:r w:rsidRPr="001707CF">
        <w:rPr>
          <w:rFonts w:ascii="Tahoma" w:hAnsi="Tahoma" w:cs="Tahoma"/>
          <w:sz w:val="23"/>
          <w:szCs w:val="23"/>
          <w:lang w:val="sr-Latn-BA"/>
        </w:rPr>
        <w:t>U skladu sa Zakonom o računovodstvu i reviziji RS, finansijski izvještaji i evidentiranje poslovnih promjena OAIF „JAHORINA KOIN“ (u daljem tekstu: „Fond“) su sastavljeni u skladu sa Međunarodnim računovodstvenim standardima (MRS) i</w:t>
      </w:r>
      <w:r w:rsidRPr="001707CF">
        <w:rPr>
          <w:rFonts w:ascii="Tahoma" w:hAnsi="Tahoma" w:cs="Tahoma"/>
          <w:color w:val="000000"/>
          <w:sz w:val="23"/>
          <w:szCs w:val="23"/>
          <w:lang w:val="sr-Latn-BA"/>
        </w:rPr>
        <w:t xml:space="preserve"> Međunarodnim standardima finansijskog izvještavanja (MSFI) koji su u primjeni u Republici Srpskoj uz primjenu propisa koji uređuju tržište kapitala u Republici Srpskoj. </w:t>
      </w:r>
    </w:p>
    <w:p w14:paraId="05D10DFA" w14:textId="77777777" w:rsidR="00C165F8" w:rsidRPr="001707CF" w:rsidRDefault="00C165F8" w:rsidP="00C165F8">
      <w:pPr>
        <w:autoSpaceDE w:val="0"/>
        <w:autoSpaceDN w:val="0"/>
        <w:adjustRightInd w:val="0"/>
        <w:spacing w:after="120"/>
        <w:jc w:val="both"/>
        <w:rPr>
          <w:rFonts w:ascii="Tahoma" w:hAnsi="Tahoma" w:cs="Tahoma"/>
          <w:sz w:val="23"/>
          <w:szCs w:val="23"/>
          <w:lang w:val="sr-Latn-BA"/>
        </w:rPr>
      </w:pPr>
      <w:r w:rsidRPr="001707CF">
        <w:rPr>
          <w:rFonts w:ascii="Tahoma" w:hAnsi="Tahoma" w:cs="Tahoma"/>
          <w:sz w:val="23"/>
          <w:szCs w:val="23"/>
          <w:lang w:val="sr-Latn-BA"/>
        </w:rPr>
        <w:t>Finansijski izvještaji Fonda su prikazani u formatu koji je propisan Pravilnikom o sadržini i formi finansijskih izvještaja za investicione fondove (Službeni glasnik RS 63/16 i 115/17) i uključuju sljedeće izvještaje:</w:t>
      </w:r>
    </w:p>
    <w:p w14:paraId="4011EC96" w14:textId="77777777" w:rsidR="00C165F8" w:rsidRPr="001707CF" w:rsidRDefault="00C165F8" w:rsidP="00C165F8">
      <w:pPr>
        <w:pStyle w:val="ListParagraph"/>
        <w:numPr>
          <w:ilvl w:val="0"/>
          <w:numId w:val="28"/>
        </w:numPr>
        <w:autoSpaceDE w:val="0"/>
        <w:autoSpaceDN w:val="0"/>
        <w:adjustRightInd w:val="0"/>
        <w:jc w:val="both"/>
        <w:rPr>
          <w:rFonts w:ascii="Tahoma" w:hAnsi="Tahoma" w:cs="Tahoma"/>
          <w:sz w:val="23"/>
          <w:szCs w:val="23"/>
          <w:lang w:val="sr-Latn-BA"/>
        </w:rPr>
      </w:pPr>
      <w:r w:rsidRPr="001707CF">
        <w:rPr>
          <w:rFonts w:ascii="Tahoma" w:hAnsi="Tahoma" w:cs="Tahoma"/>
          <w:sz w:val="23"/>
          <w:szCs w:val="23"/>
          <w:lang w:val="sr-Latn-BA"/>
        </w:rPr>
        <w:t>Bilans uspjeha investicionog fonda - Izvještaj o ukupnom rezultatu u periodu,</w:t>
      </w:r>
    </w:p>
    <w:p w14:paraId="0AAE1C40" w14:textId="77777777" w:rsidR="00C165F8" w:rsidRPr="001707CF" w:rsidRDefault="00C165F8" w:rsidP="00C165F8">
      <w:pPr>
        <w:pStyle w:val="ListParagraph"/>
        <w:numPr>
          <w:ilvl w:val="0"/>
          <w:numId w:val="28"/>
        </w:numPr>
        <w:autoSpaceDE w:val="0"/>
        <w:autoSpaceDN w:val="0"/>
        <w:adjustRightInd w:val="0"/>
        <w:jc w:val="both"/>
        <w:rPr>
          <w:rFonts w:ascii="Tahoma" w:hAnsi="Tahoma" w:cs="Tahoma"/>
          <w:sz w:val="23"/>
          <w:szCs w:val="23"/>
          <w:lang w:val="sr-Latn-BA"/>
        </w:rPr>
      </w:pPr>
      <w:r w:rsidRPr="001707CF">
        <w:rPr>
          <w:rFonts w:ascii="Tahoma" w:hAnsi="Tahoma" w:cs="Tahoma"/>
          <w:sz w:val="23"/>
          <w:szCs w:val="23"/>
          <w:lang w:val="sr-Latn-BA"/>
        </w:rPr>
        <w:t>Bilans stanja investicionog fonda - Izvještaj o finansijskom položaju,</w:t>
      </w:r>
    </w:p>
    <w:p w14:paraId="547E69FD" w14:textId="77777777" w:rsidR="00C165F8" w:rsidRPr="001707CF" w:rsidRDefault="00C165F8" w:rsidP="00C165F8">
      <w:pPr>
        <w:autoSpaceDE w:val="0"/>
        <w:autoSpaceDN w:val="0"/>
        <w:adjustRightInd w:val="0"/>
        <w:ind w:left="567"/>
        <w:jc w:val="both"/>
        <w:rPr>
          <w:rFonts w:ascii="Tahoma" w:hAnsi="Tahoma" w:cs="Tahoma"/>
          <w:sz w:val="23"/>
          <w:szCs w:val="23"/>
          <w:lang w:val="sr-Latn-BA"/>
        </w:rPr>
      </w:pPr>
      <w:r w:rsidRPr="001707CF">
        <w:rPr>
          <w:rFonts w:ascii="Tahoma" w:hAnsi="Tahoma" w:cs="Tahoma"/>
          <w:sz w:val="23"/>
          <w:szCs w:val="23"/>
          <w:lang w:val="sr-Latn-BA"/>
        </w:rPr>
        <w:t>3) Izvještaj o promjenama neto imovine investicionog fonda,</w:t>
      </w:r>
    </w:p>
    <w:p w14:paraId="10B4E53B" w14:textId="77777777" w:rsidR="00C165F8" w:rsidRPr="001707CF" w:rsidRDefault="00C165F8" w:rsidP="00C165F8">
      <w:pPr>
        <w:autoSpaceDE w:val="0"/>
        <w:autoSpaceDN w:val="0"/>
        <w:adjustRightInd w:val="0"/>
        <w:ind w:left="567"/>
        <w:jc w:val="both"/>
        <w:rPr>
          <w:rFonts w:ascii="Tahoma" w:hAnsi="Tahoma" w:cs="Tahoma"/>
          <w:sz w:val="23"/>
          <w:szCs w:val="23"/>
          <w:lang w:val="sr-Latn-BA"/>
        </w:rPr>
      </w:pPr>
      <w:r w:rsidRPr="001707CF">
        <w:rPr>
          <w:rFonts w:ascii="Tahoma" w:hAnsi="Tahoma" w:cs="Tahoma"/>
          <w:sz w:val="23"/>
          <w:szCs w:val="23"/>
          <w:lang w:val="sr-Latn-BA"/>
        </w:rPr>
        <w:t>4) Bilans tokova gotovine investicionog fonda Izvještaj o tokovima gotovine,</w:t>
      </w:r>
    </w:p>
    <w:p w14:paraId="06CAC581" w14:textId="77777777" w:rsidR="00C165F8" w:rsidRPr="001707CF" w:rsidRDefault="00C165F8" w:rsidP="00C165F8">
      <w:pPr>
        <w:autoSpaceDE w:val="0"/>
        <w:autoSpaceDN w:val="0"/>
        <w:adjustRightInd w:val="0"/>
        <w:ind w:left="567"/>
        <w:jc w:val="both"/>
        <w:rPr>
          <w:rFonts w:ascii="Tahoma" w:hAnsi="Tahoma" w:cs="Tahoma"/>
          <w:sz w:val="23"/>
          <w:szCs w:val="23"/>
          <w:lang w:val="sr-Latn-BA"/>
        </w:rPr>
      </w:pPr>
      <w:r w:rsidRPr="001707CF">
        <w:rPr>
          <w:rFonts w:ascii="Tahoma" w:hAnsi="Tahoma" w:cs="Tahoma"/>
          <w:sz w:val="23"/>
          <w:szCs w:val="23"/>
          <w:lang w:val="sr-Latn-BA"/>
        </w:rPr>
        <w:t>5) Izvještaj o finansijskim pokazatelјima po udjelu ili akciji investicionog fonda,</w:t>
      </w:r>
    </w:p>
    <w:p w14:paraId="2C079AC4" w14:textId="77777777" w:rsidR="00C165F8" w:rsidRPr="001707CF" w:rsidRDefault="00C165F8" w:rsidP="00C165F8">
      <w:pPr>
        <w:autoSpaceDE w:val="0"/>
        <w:autoSpaceDN w:val="0"/>
        <w:adjustRightInd w:val="0"/>
        <w:ind w:left="567"/>
        <w:jc w:val="both"/>
        <w:rPr>
          <w:rFonts w:ascii="Tahoma" w:hAnsi="Tahoma" w:cs="Tahoma"/>
          <w:sz w:val="23"/>
          <w:szCs w:val="23"/>
          <w:lang w:val="sr-Latn-BA"/>
        </w:rPr>
      </w:pPr>
      <w:r w:rsidRPr="001707CF">
        <w:rPr>
          <w:rFonts w:ascii="Tahoma" w:hAnsi="Tahoma" w:cs="Tahoma"/>
          <w:sz w:val="23"/>
          <w:szCs w:val="23"/>
          <w:lang w:val="sr-Latn-BA"/>
        </w:rPr>
        <w:t>6) Izvještaj o strukturi ulaganja investicionog fonda,</w:t>
      </w:r>
    </w:p>
    <w:p w14:paraId="3AC90DD2" w14:textId="77777777" w:rsidR="00C165F8" w:rsidRPr="001707CF" w:rsidRDefault="00C165F8" w:rsidP="00C165F8">
      <w:pPr>
        <w:autoSpaceDE w:val="0"/>
        <w:autoSpaceDN w:val="0"/>
        <w:adjustRightInd w:val="0"/>
        <w:ind w:left="567"/>
        <w:jc w:val="both"/>
        <w:rPr>
          <w:rFonts w:ascii="Tahoma" w:hAnsi="Tahoma" w:cs="Tahoma"/>
          <w:sz w:val="23"/>
          <w:szCs w:val="23"/>
          <w:lang w:val="sr-Latn-BA"/>
        </w:rPr>
      </w:pPr>
      <w:r w:rsidRPr="001707CF">
        <w:rPr>
          <w:rFonts w:ascii="Tahoma" w:hAnsi="Tahoma" w:cs="Tahoma"/>
          <w:sz w:val="23"/>
          <w:szCs w:val="23"/>
          <w:lang w:val="sr-Latn-BA"/>
        </w:rPr>
        <w:t>7) Izvještaj o strukturi imovine investicionog fonda po vrstama imovine,</w:t>
      </w:r>
    </w:p>
    <w:p w14:paraId="4E24091B" w14:textId="77777777" w:rsidR="00C165F8" w:rsidRPr="001707CF" w:rsidRDefault="00C165F8" w:rsidP="00C165F8">
      <w:pPr>
        <w:autoSpaceDE w:val="0"/>
        <w:autoSpaceDN w:val="0"/>
        <w:adjustRightInd w:val="0"/>
        <w:ind w:left="567"/>
        <w:jc w:val="both"/>
        <w:rPr>
          <w:rFonts w:ascii="Tahoma" w:hAnsi="Tahoma" w:cs="Tahoma"/>
          <w:sz w:val="23"/>
          <w:szCs w:val="23"/>
          <w:lang w:val="sr-Latn-BA"/>
        </w:rPr>
      </w:pPr>
      <w:r w:rsidRPr="001707CF">
        <w:rPr>
          <w:rFonts w:ascii="Tahoma" w:hAnsi="Tahoma" w:cs="Tahoma"/>
          <w:sz w:val="23"/>
          <w:szCs w:val="23"/>
          <w:lang w:val="sr-Latn-BA"/>
        </w:rPr>
        <w:t>8) Struktura obaveza investicionog fonda po vrstama instrumenata,</w:t>
      </w:r>
    </w:p>
    <w:p w14:paraId="577E2627" w14:textId="77777777" w:rsidR="00C165F8" w:rsidRPr="001707CF" w:rsidRDefault="00C165F8" w:rsidP="00C165F8">
      <w:pPr>
        <w:autoSpaceDE w:val="0"/>
        <w:autoSpaceDN w:val="0"/>
        <w:adjustRightInd w:val="0"/>
        <w:ind w:left="567"/>
        <w:jc w:val="both"/>
        <w:rPr>
          <w:rFonts w:ascii="Tahoma" w:hAnsi="Tahoma" w:cs="Tahoma"/>
          <w:sz w:val="23"/>
          <w:szCs w:val="23"/>
          <w:lang w:val="sr-Latn-BA"/>
        </w:rPr>
      </w:pPr>
      <w:r w:rsidRPr="001707CF">
        <w:rPr>
          <w:rFonts w:ascii="Tahoma" w:hAnsi="Tahoma" w:cs="Tahoma"/>
          <w:sz w:val="23"/>
          <w:szCs w:val="23"/>
          <w:lang w:val="sr-Latn-BA"/>
        </w:rPr>
        <w:t>9) Izvještaj o realizovanim dobicima (gubicima) investicionog fonda,</w:t>
      </w:r>
    </w:p>
    <w:p w14:paraId="1D8A7BBD" w14:textId="77777777" w:rsidR="00C165F8" w:rsidRPr="001707CF" w:rsidRDefault="00C165F8" w:rsidP="00C165F8">
      <w:pPr>
        <w:autoSpaceDE w:val="0"/>
        <w:autoSpaceDN w:val="0"/>
        <w:adjustRightInd w:val="0"/>
        <w:ind w:left="567"/>
        <w:jc w:val="both"/>
        <w:rPr>
          <w:rFonts w:ascii="Tahoma" w:hAnsi="Tahoma" w:cs="Tahoma"/>
          <w:sz w:val="23"/>
          <w:szCs w:val="23"/>
          <w:lang w:val="sr-Latn-BA"/>
        </w:rPr>
      </w:pPr>
      <w:r w:rsidRPr="001707CF">
        <w:rPr>
          <w:rFonts w:ascii="Tahoma" w:hAnsi="Tahoma" w:cs="Tahoma"/>
          <w:sz w:val="23"/>
          <w:szCs w:val="23"/>
          <w:lang w:val="sr-Latn-BA"/>
        </w:rPr>
        <w:t>10) Izvještaj o nerealizovanim dobicima (gubicima) investicionog fonda i</w:t>
      </w:r>
    </w:p>
    <w:p w14:paraId="64B9C5C5" w14:textId="77777777" w:rsidR="00C165F8" w:rsidRPr="001707CF" w:rsidRDefault="00C165F8" w:rsidP="00C165F8">
      <w:pPr>
        <w:autoSpaceDE w:val="0"/>
        <w:autoSpaceDN w:val="0"/>
        <w:adjustRightInd w:val="0"/>
        <w:spacing w:after="120"/>
        <w:ind w:left="567"/>
        <w:jc w:val="both"/>
        <w:rPr>
          <w:rFonts w:ascii="Tahoma" w:hAnsi="Tahoma" w:cs="Tahoma"/>
          <w:sz w:val="23"/>
          <w:szCs w:val="23"/>
          <w:lang w:val="sr-Latn-BA"/>
        </w:rPr>
      </w:pPr>
      <w:r w:rsidRPr="001707CF">
        <w:rPr>
          <w:rFonts w:ascii="Tahoma" w:hAnsi="Tahoma" w:cs="Tahoma"/>
          <w:sz w:val="23"/>
          <w:szCs w:val="23"/>
          <w:lang w:val="sr-Latn-BA"/>
        </w:rPr>
        <w:t>11) Izvještaj o transakcijama sa povezanim licima.</w:t>
      </w:r>
    </w:p>
    <w:p w14:paraId="45E4F4AD" w14:textId="77777777" w:rsidR="00C165F8" w:rsidRPr="001707CF" w:rsidRDefault="00C165F8" w:rsidP="00C165F8">
      <w:pPr>
        <w:autoSpaceDE w:val="0"/>
        <w:autoSpaceDN w:val="0"/>
        <w:adjustRightInd w:val="0"/>
        <w:spacing w:after="120"/>
        <w:jc w:val="both"/>
        <w:rPr>
          <w:rFonts w:ascii="Tahoma" w:hAnsi="Tahoma" w:cs="Tahoma"/>
          <w:sz w:val="23"/>
          <w:szCs w:val="23"/>
          <w:lang w:val="sr-Latn-BA"/>
        </w:rPr>
      </w:pPr>
      <w:r w:rsidRPr="001707CF">
        <w:rPr>
          <w:rFonts w:ascii="Tahoma" w:hAnsi="Tahoma" w:cs="Tahoma"/>
          <w:sz w:val="23"/>
          <w:szCs w:val="23"/>
          <w:lang w:val="sr-Latn-BA"/>
        </w:rPr>
        <w:t>S obzirom na specifičnost poslovanja investicionih fondova, pri izradi finansijskih izvještaja, pored opštih zakona koji regulišu pitanje računovodstva, primijenjeni su sljedeći zakoni i podzakonski akti:</w:t>
      </w:r>
    </w:p>
    <w:p w14:paraId="7B8B7014" w14:textId="77777777" w:rsidR="00C165F8" w:rsidRPr="001707CF" w:rsidRDefault="00C165F8" w:rsidP="00C165F8">
      <w:pPr>
        <w:autoSpaceDE w:val="0"/>
        <w:autoSpaceDN w:val="0"/>
        <w:adjustRightInd w:val="0"/>
        <w:ind w:left="284" w:hanging="284"/>
        <w:jc w:val="both"/>
        <w:rPr>
          <w:rFonts w:ascii="Tahoma" w:hAnsi="Tahoma" w:cs="Tahoma"/>
          <w:sz w:val="23"/>
          <w:szCs w:val="23"/>
          <w:lang w:val="sr-Latn-BA"/>
        </w:rPr>
      </w:pPr>
      <w:r w:rsidRPr="001707CF">
        <w:rPr>
          <w:rFonts w:ascii="Tahoma" w:hAnsi="Tahoma" w:cs="Tahoma"/>
          <w:sz w:val="23"/>
          <w:szCs w:val="23"/>
          <w:lang w:val="sr-Latn-BA"/>
        </w:rPr>
        <w:t>•</w:t>
      </w:r>
      <w:r w:rsidRPr="001707CF">
        <w:rPr>
          <w:rFonts w:ascii="Tahoma" w:hAnsi="Tahoma" w:cs="Tahoma"/>
          <w:sz w:val="23"/>
          <w:szCs w:val="23"/>
          <w:lang w:val="sr-Latn-BA"/>
        </w:rPr>
        <w:tab/>
        <w:t xml:space="preserve">Zakon o investicionim fondovima </w:t>
      </w:r>
    </w:p>
    <w:p w14:paraId="2F57AA4D" w14:textId="77777777" w:rsidR="00C165F8" w:rsidRPr="001707CF" w:rsidRDefault="00C165F8" w:rsidP="00C165F8">
      <w:pPr>
        <w:autoSpaceDE w:val="0"/>
        <w:autoSpaceDN w:val="0"/>
        <w:adjustRightInd w:val="0"/>
        <w:ind w:left="284" w:hanging="284"/>
        <w:jc w:val="both"/>
        <w:rPr>
          <w:rFonts w:ascii="Tahoma" w:hAnsi="Tahoma" w:cs="Tahoma"/>
          <w:sz w:val="23"/>
          <w:szCs w:val="23"/>
          <w:lang w:val="sr-Latn-BA"/>
        </w:rPr>
      </w:pPr>
      <w:r w:rsidRPr="001707CF">
        <w:rPr>
          <w:rFonts w:ascii="Tahoma" w:hAnsi="Tahoma" w:cs="Tahoma"/>
          <w:sz w:val="23"/>
          <w:szCs w:val="23"/>
          <w:lang w:val="sr-Latn-BA"/>
        </w:rPr>
        <w:t>•</w:t>
      </w:r>
      <w:r w:rsidRPr="001707CF">
        <w:rPr>
          <w:rFonts w:ascii="Tahoma" w:hAnsi="Tahoma" w:cs="Tahoma"/>
          <w:sz w:val="23"/>
          <w:szCs w:val="23"/>
          <w:lang w:val="sr-Latn-BA"/>
        </w:rPr>
        <w:tab/>
        <w:t xml:space="preserve">Zakon o tržištu hartija od vrijednosti </w:t>
      </w:r>
    </w:p>
    <w:p w14:paraId="512D0957" w14:textId="77777777" w:rsidR="00C165F8" w:rsidRPr="001707CF" w:rsidRDefault="00C165F8" w:rsidP="00C165F8">
      <w:pPr>
        <w:autoSpaceDE w:val="0"/>
        <w:autoSpaceDN w:val="0"/>
        <w:adjustRightInd w:val="0"/>
        <w:ind w:left="284" w:hanging="284"/>
        <w:jc w:val="both"/>
        <w:rPr>
          <w:rFonts w:ascii="Tahoma" w:hAnsi="Tahoma" w:cs="Tahoma"/>
          <w:sz w:val="23"/>
          <w:szCs w:val="23"/>
          <w:lang w:val="sr-Latn-BA"/>
        </w:rPr>
      </w:pPr>
      <w:r w:rsidRPr="001707CF">
        <w:rPr>
          <w:rFonts w:ascii="Tahoma" w:hAnsi="Tahoma" w:cs="Tahoma"/>
          <w:sz w:val="23"/>
          <w:szCs w:val="23"/>
          <w:lang w:val="sr-Latn-BA"/>
        </w:rPr>
        <w:t>•</w:t>
      </w:r>
      <w:r w:rsidRPr="001707CF">
        <w:rPr>
          <w:rFonts w:ascii="Tahoma" w:hAnsi="Tahoma" w:cs="Tahoma"/>
          <w:sz w:val="23"/>
          <w:szCs w:val="23"/>
          <w:lang w:val="sr-Latn-BA"/>
        </w:rPr>
        <w:tab/>
        <w:t xml:space="preserve">Zakon o privrednim društvima </w:t>
      </w:r>
    </w:p>
    <w:p w14:paraId="47CC1F61" w14:textId="77777777" w:rsidR="00C165F8" w:rsidRPr="001707CF" w:rsidRDefault="00C165F8" w:rsidP="00C165F8">
      <w:pPr>
        <w:autoSpaceDE w:val="0"/>
        <w:autoSpaceDN w:val="0"/>
        <w:adjustRightInd w:val="0"/>
        <w:ind w:left="284" w:hanging="284"/>
        <w:jc w:val="both"/>
        <w:rPr>
          <w:rFonts w:ascii="Tahoma" w:hAnsi="Tahoma" w:cs="Tahoma"/>
          <w:sz w:val="23"/>
          <w:szCs w:val="23"/>
          <w:lang w:val="sr-Latn-BA"/>
        </w:rPr>
      </w:pPr>
      <w:r w:rsidRPr="001707CF">
        <w:rPr>
          <w:rFonts w:ascii="Tahoma" w:hAnsi="Tahoma" w:cs="Tahoma"/>
          <w:sz w:val="23"/>
          <w:szCs w:val="23"/>
          <w:lang w:val="sr-Latn-BA"/>
        </w:rPr>
        <w:t>•</w:t>
      </w:r>
      <w:r w:rsidRPr="001707CF">
        <w:rPr>
          <w:rFonts w:ascii="Tahoma" w:hAnsi="Tahoma" w:cs="Tahoma"/>
          <w:sz w:val="23"/>
          <w:szCs w:val="23"/>
          <w:lang w:val="sr-Latn-BA"/>
        </w:rPr>
        <w:tab/>
        <w:t>Pravilnik o utvrđivanju vrijednosti imovine investicionog fonda i obračunu neto vrijednosti imovine po udjelu ili po akciji investicionog fonda</w:t>
      </w:r>
    </w:p>
    <w:p w14:paraId="7CDC9EBB" w14:textId="77777777" w:rsidR="00C165F8" w:rsidRPr="001707CF" w:rsidRDefault="00C165F8" w:rsidP="00C165F8">
      <w:pPr>
        <w:autoSpaceDE w:val="0"/>
        <w:autoSpaceDN w:val="0"/>
        <w:adjustRightInd w:val="0"/>
        <w:ind w:left="284" w:hanging="284"/>
        <w:jc w:val="both"/>
        <w:rPr>
          <w:rFonts w:ascii="Tahoma" w:hAnsi="Tahoma" w:cs="Tahoma"/>
          <w:sz w:val="23"/>
          <w:szCs w:val="23"/>
          <w:lang w:val="sr-Latn-BA"/>
        </w:rPr>
      </w:pPr>
      <w:r w:rsidRPr="001707CF">
        <w:rPr>
          <w:rFonts w:ascii="Tahoma" w:hAnsi="Tahoma" w:cs="Tahoma"/>
          <w:sz w:val="23"/>
          <w:szCs w:val="23"/>
          <w:lang w:val="sr-Latn-BA"/>
        </w:rPr>
        <w:t>•</w:t>
      </w:r>
      <w:r w:rsidRPr="001707CF">
        <w:rPr>
          <w:rFonts w:ascii="Tahoma" w:hAnsi="Tahoma" w:cs="Tahoma"/>
          <w:sz w:val="23"/>
          <w:szCs w:val="23"/>
          <w:lang w:val="sr-Latn-BA"/>
        </w:rPr>
        <w:tab/>
        <w:t xml:space="preserve">Pravilnik o obavljanju poslova banke depozitara investicionih fondova </w:t>
      </w:r>
    </w:p>
    <w:p w14:paraId="36C26B9D" w14:textId="77777777" w:rsidR="00C165F8" w:rsidRPr="001707CF" w:rsidRDefault="00C165F8" w:rsidP="00C165F8">
      <w:pPr>
        <w:autoSpaceDE w:val="0"/>
        <w:autoSpaceDN w:val="0"/>
        <w:adjustRightInd w:val="0"/>
        <w:spacing w:after="120"/>
        <w:ind w:left="284" w:hanging="284"/>
        <w:jc w:val="both"/>
        <w:rPr>
          <w:rFonts w:ascii="Tahoma" w:hAnsi="Tahoma" w:cs="Tahoma"/>
          <w:sz w:val="23"/>
          <w:szCs w:val="23"/>
          <w:lang w:val="sr-Latn-BA"/>
        </w:rPr>
      </w:pPr>
      <w:r w:rsidRPr="001707CF">
        <w:rPr>
          <w:rFonts w:ascii="Tahoma" w:hAnsi="Tahoma" w:cs="Tahoma"/>
          <w:sz w:val="23"/>
          <w:szCs w:val="23"/>
          <w:lang w:val="sr-Latn-BA"/>
        </w:rPr>
        <w:t>•</w:t>
      </w:r>
      <w:r w:rsidRPr="001707CF">
        <w:rPr>
          <w:rFonts w:ascii="Tahoma" w:hAnsi="Tahoma" w:cs="Tahoma"/>
          <w:sz w:val="23"/>
          <w:szCs w:val="23"/>
          <w:lang w:val="sr-Latn-BA"/>
        </w:rPr>
        <w:tab/>
        <w:t>Pravilnik o kontnom okviru i sadržini računa u kontnom okviru za investicione fondove.</w:t>
      </w:r>
    </w:p>
    <w:p w14:paraId="5BA72D4A" w14:textId="77777777" w:rsidR="00C165F8" w:rsidRDefault="00C165F8" w:rsidP="00C165F8">
      <w:pPr>
        <w:autoSpaceDE w:val="0"/>
        <w:autoSpaceDN w:val="0"/>
        <w:adjustRightInd w:val="0"/>
        <w:spacing w:after="120"/>
        <w:ind w:left="360"/>
        <w:rPr>
          <w:rFonts w:ascii="Tahoma" w:hAnsi="Tahoma" w:cs="Tahoma"/>
          <w:b/>
          <w:bCs/>
          <w:color w:val="000000"/>
          <w:sz w:val="23"/>
          <w:szCs w:val="23"/>
          <w:lang w:val="sr-Latn-BA"/>
        </w:rPr>
      </w:pPr>
    </w:p>
    <w:p w14:paraId="1562ECC8" w14:textId="77777777" w:rsidR="001044C3" w:rsidRDefault="001044C3" w:rsidP="00C165F8">
      <w:pPr>
        <w:autoSpaceDE w:val="0"/>
        <w:autoSpaceDN w:val="0"/>
        <w:adjustRightInd w:val="0"/>
        <w:spacing w:after="120"/>
        <w:ind w:left="360"/>
        <w:rPr>
          <w:rFonts w:ascii="Tahoma" w:hAnsi="Tahoma" w:cs="Tahoma"/>
          <w:b/>
          <w:bCs/>
          <w:color w:val="000000"/>
          <w:sz w:val="23"/>
          <w:szCs w:val="23"/>
          <w:lang w:val="sr-Latn-BA"/>
        </w:rPr>
      </w:pPr>
    </w:p>
    <w:p w14:paraId="371E4539" w14:textId="77777777" w:rsidR="001044C3" w:rsidRPr="001707CF" w:rsidRDefault="001044C3" w:rsidP="00C165F8">
      <w:pPr>
        <w:autoSpaceDE w:val="0"/>
        <w:autoSpaceDN w:val="0"/>
        <w:adjustRightInd w:val="0"/>
        <w:spacing w:after="120"/>
        <w:ind w:left="360"/>
        <w:rPr>
          <w:rFonts w:ascii="Tahoma" w:hAnsi="Tahoma" w:cs="Tahoma"/>
          <w:b/>
          <w:bCs/>
          <w:color w:val="000000"/>
          <w:sz w:val="23"/>
          <w:szCs w:val="23"/>
          <w:lang w:val="sr-Latn-BA"/>
        </w:rPr>
      </w:pPr>
    </w:p>
    <w:p w14:paraId="3781661F" w14:textId="77777777" w:rsidR="00C165F8" w:rsidRPr="001707CF" w:rsidRDefault="00C165F8" w:rsidP="00C165F8">
      <w:pPr>
        <w:numPr>
          <w:ilvl w:val="1"/>
          <w:numId w:val="22"/>
        </w:numPr>
        <w:autoSpaceDE w:val="0"/>
        <w:autoSpaceDN w:val="0"/>
        <w:adjustRightInd w:val="0"/>
        <w:spacing w:after="120"/>
        <w:rPr>
          <w:rFonts w:ascii="Tahoma" w:hAnsi="Tahoma" w:cs="Tahoma"/>
          <w:b/>
          <w:bCs/>
          <w:color w:val="000000"/>
          <w:sz w:val="23"/>
          <w:szCs w:val="23"/>
          <w:lang w:val="sr-Latn-BA"/>
        </w:rPr>
      </w:pPr>
      <w:r w:rsidRPr="001707CF">
        <w:rPr>
          <w:rFonts w:ascii="Tahoma" w:hAnsi="Tahoma" w:cs="Tahoma"/>
          <w:b/>
          <w:bCs/>
          <w:color w:val="000000"/>
          <w:sz w:val="23"/>
          <w:szCs w:val="23"/>
          <w:lang w:val="sr-Latn-BA"/>
        </w:rPr>
        <w:lastRenderedPageBreak/>
        <w:t>Standardi i tumačenja primijenjeni u pripremi FI</w:t>
      </w:r>
    </w:p>
    <w:p w14:paraId="7A377EDC" w14:textId="77777777" w:rsidR="00C165F8" w:rsidRPr="001707CF" w:rsidRDefault="00C165F8" w:rsidP="00C165F8">
      <w:pPr>
        <w:spacing w:after="120"/>
        <w:jc w:val="both"/>
        <w:rPr>
          <w:rFonts w:ascii="Tahoma" w:hAnsi="Tahoma" w:cs="Tahoma"/>
          <w:sz w:val="23"/>
          <w:szCs w:val="23"/>
          <w:lang w:val="sr-Latn-BA"/>
        </w:rPr>
      </w:pPr>
      <w:r w:rsidRPr="001707CF">
        <w:rPr>
          <w:rFonts w:ascii="Tahoma" w:hAnsi="Tahoma" w:cs="Tahoma"/>
          <w:sz w:val="23"/>
          <w:szCs w:val="23"/>
          <w:lang w:val="sr-Latn-BA"/>
        </w:rPr>
        <w:t>U skladu sa Zakonom, pravna lica u Republici Srpskoj treba da sastave i prezentuju finansijske izveštaje u skladu sa relevantnim zakonskim i profesionalnim regulativama, koje podrazumijevaju Međunarodne računovodstvene standarde (IAS), Međunarodne standarde finansijskog izvještavanja (IFRS), Međunarodnog standarda finansijskog izvještavanja za male i srednje entitete (MSFI za SME), Kodeks etike za profesionalne računovođe i prateća uputstva, objašnjenja i smjernice koje donosi Odbor za međunarodne računovodstvene standarde (IASB) i sva prateća uputstva, objašnjenja i smjernice koje donosi Međunarodna federacija računovođa (IFAC).</w:t>
      </w:r>
    </w:p>
    <w:p w14:paraId="3E0AC8B1" w14:textId="77777777" w:rsidR="00C165F8" w:rsidRPr="001707CF" w:rsidRDefault="00C165F8" w:rsidP="00C165F8">
      <w:pPr>
        <w:spacing w:after="120"/>
        <w:jc w:val="both"/>
        <w:rPr>
          <w:rFonts w:ascii="Tahoma" w:hAnsi="Tahoma" w:cs="Tahoma"/>
          <w:sz w:val="23"/>
          <w:szCs w:val="23"/>
          <w:lang w:val="sr-Latn-BA"/>
        </w:rPr>
      </w:pPr>
      <w:r w:rsidRPr="001707CF">
        <w:rPr>
          <w:rFonts w:ascii="Tahoma" w:hAnsi="Tahoma" w:cs="Tahoma"/>
          <w:sz w:val="23"/>
          <w:szCs w:val="23"/>
          <w:lang w:val="sr-Latn-BA"/>
        </w:rPr>
        <w:t>Računovodstveni i revizijski standardi su standardi, uputstva, objašnjenja, smjernice i načela definisani zakonom, objavlјeni od profesionalnog udruženja u saradnji sa Ministarstvom finansija.</w:t>
      </w:r>
    </w:p>
    <w:p w14:paraId="3EC1F110" w14:textId="77777777" w:rsidR="00C165F8" w:rsidRPr="001707CF" w:rsidRDefault="00C165F8" w:rsidP="00C165F8">
      <w:pPr>
        <w:spacing w:after="120"/>
        <w:jc w:val="both"/>
        <w:rPr>
          <w:rFonts w:ascii="Tahoma" w:hAnsi="Tahoma" w:cs="Tahoma"/>
          <w:sz w:val="23"/>
          <w:szCs w:val="23"/>
          <w:lang w:val="sr-Latn-BA"/>
        </w:rPr>
      </w:pPr>
      <w:r w:rsidRPr="001707CF">
        <w:rPr>
          <w:rFonts w:ascii="Tahoma" w:hAnsi="Tahoma" w:cs="Tahoma"/>
          <w:sz w:val="23"/>
          <w:szCs w:val="23"/>
          <w:lang w:val="sr-Latn-BA"/>
        </w:rPr>
        <w:t>Upravni odbor Saveza računovođa i revizora Republike Srpske je 9. novembra 2020. godine donio Odluku o utvrđivanju i objavlјivanju prevoda Međunarodnih standarda finansijskog izvještavanja (MSFI) iz 2021. godine. Prema ovoj Odluci, MSFI iz 2021. godine se obavezno primjenjuju za finansijske izvještaje koji se sastavlјaju na dan 31. decembra 2022. godine ili kasnije.</w:t>
      </w:r>
    </w:p>
    <w:p w14:paraId="3149C695" w14:textId="77777777" w:rsidR="00C165F8" w:rsidRPr="001707CF" w:rsidRDefault="00C165F8" w:rsidP="00C165F8">
      <w:pPr>
        <w:spacing w:after="120"/>
        <w:jc w:val="both"/>
        <w:rPr>
          <w:rFonts w:ascii="Tahoma" w:hAnsi="Tahoma" w:cs="Tahoma"/>
          <w:sz w:val="23"/>
          <w:szCs w:val="23"/>
          <w:lang w:val="sr-Latn-BA"/>
        </w:rPr>
      </w:pPr>
      <w:r w:rsidRPr="001707CF">
        <w:rPr>
          <w:rFonts w:ascii="Tahoma" w:hAnsi="Tahoma" w:cs="Tahoma"/>
          <w:sz w:val="23"/>
          <w:szCs w:val="23"/>
          <w:lang w:val="sr-Latn-BA"/>
        </w:rPr>
        <w:t>Promjene u Međunarodnim stanardima finansijskog izvještavanja, Međunarodnim računovodstvenim standardima, tumačenjima, kao i novousvojeni standardi i tumačenja izdate nakon 1. januara 2019. godine nisu objavlјeni i usvojeni u Republici Srpskoj. U skladu sa ovim, ove promjene i novousvojeni standardi nisu primijenjene u sastavlјanju priloženih finansijskih izvještaja.</w:t>
      </w:r>
    </w:p>
    <w:p w14:paraId="76541ED0" w14:textId="77777777" w:rsidR="00C165F8" w:rsidRPr="001707CF" w:rsidRDefault="00C165F8" w:rsidP="00C165F8">
      <w:pPr>
        <w:spacing w:after="120"/>
        <w:jc w:val="both"/>
        <w:rPr>
          <w:rFonts w:ascii="Tahoma" w:hAnsi="Tahoma" w:cs="Tahoma"/>
          <w:sz w:val="23"/>
          <w:szCs w:val="23"/>
          <w:lang w:val="sr-Latn-BA"/>
        </w:rPr>
      </w:pPr>
      <w:r w:rsidRPr="001707CF">
        <w:rPr>
          <w:rFonts w:ascii="Tahoma" w:hAnsi="Tahoma" w:cs="Tahoma"/>
          <w:sz w:val="23"/>
          <w:szCs w:val="23"/>
          <w:lang w:val="sr-Latn-BA"/>
        </w:rPr>
        <w:t>Uzimajući u obzir potencijalne materijalne efekte koje odstupanja računovodstvenih propisa Republike Srpske od MSFI i MRS mogu imati na fer prezentaciju finansijskih izvještaja Fonda, priloženi finansijski izvještaji se ne mogu smatrati pripremlјenim u punoj saglasnosti sa MSFI.</w:t>
      </w:r>
    </w:p>
    <w:p w14:paraId="142F05DB" w14:textId="77777777" w:rsidR="00C165F8" w:rsidRPr="001707CF" w:rsidRDefault="00C165F8" w:rsidP="00C165F8">
      <w:pPr>
        <w:spacing w:after="120"/>
        <w:jc w:val="both"/>
        <w:rPr>
          <w:rFonts w:ascii="Tahoma" w:hAnsi="Tahoma" w:cs="Tahoma"/>
          <w:sz w:val="23"/>
          <w:szCs w:val="23"/>
          <w:lang w:val="sr-Latn-BA"/>
        </w:rPr>
      </w:pPr>
      <w:r w:rsidRPr="001707CF">
        <w:rPr>
          <w:rFonts w:ascii="Tahoma" w:hAnsi="Tahoma" w:cs="Tahoma"/>
          <w:sz w:val="23"/>
          <w:szCs w:val="23"/>
          <w:lang w:val="sr-Latn-BA"/>
        </w:rPr>
        <w:t>Rukovodstvo Društva ocjenjuje na osnovu trenutno raspoloživih informacija da primjena MSFI i tumačenja na snazi u tekućem periodu koji još uvijek nisu zvanično prevedeni i objavlјeni u Republici Srpskoj te standarda i tumačenja koji još uvijek nisu stupili na snagu neće imati značajan uticaj na finansijske izvještaje Fonda.</w:t>
      </w:r>
    </w:p>
    <w:p w14:paraId="6B00526F" w14:textId="77777777" w:rsidR="00C165F8" w:rsidRPr="001707CF" w:rsidRDefault="00C165F8" w:rsidP="00C165F8">
      <w:pPr>
        <w:spacing w:after="120"/>
        <w:jc w:val="both"/>
        <w:rPr>
          <w:rFonts w:ascii="Tahoma" w:hAnsi="Tahoma" w:cs="Tahoma"/>
          <w:sz w:val="23"/>
          <w:szCs w:val="23"/>
          <w:lang w:val="sr-Latn-BA"/>
        </w:rPr>
      </w:pPr>
    </w:p>
    <w:p w14:paraId="06676F27" w14:textId="77777777" w:rsidR="00C165F8" w:rsidRPr="001707CF" w:rsidRDefault="00C165F8" w:rsidP="00C165F8">
      <w:pPr>
        <w:spacing w:after="120"/>
        <w:jc w:val="both"/>
        <w:rPr>
          <w:rFonts w:ascii="Tahoma" w:hAnsi="Tahoma" w:cs="Tahoma"/>
          <w:i/>
          <w:sz w:val="23"/>
          <w:szCs w:val="23"/>
          <w:lang w:val="sr-Latn-BA"/>
        </w:rPr>
      </w:pPr>
      <w:r w:rsidRPr="001707CF">
        <w:rPr>
          <w:rFonts w:ascii="Tahoma" w:hAnsi="Tahoma" w:cs="Tahoma"/>
          <w:i/>
          <w:sz w:val="23"/>
          <w:szCs w:val="23"/>
          <w:lang w:val="sr-Latn-BA"/>
        </w:rPr>
        <w:t>Novousvojeni standardi, revizije i interpretacije standarda na snazi koji su u zvaničnoj primjeni u Republici Srpskoj</w:t>
      </w:r>
    </w:p>
    <w:p w14:paraId="491FE457" w14:textId="77777777" w:rsidR="00C165F8" w:rsidRPr="001707CF" w:rsidRDefault="00C165F8" w:rsidP="00C165F8">
      <w:pPr>
        <w:spacing w:after="120"/>
        <w:jc w:val="both"/>
        <w:rPr>
          <w:rFonts w:ascii="Tahoma" w:hAnsi="Tahoma" w:cs="Tahoma"/>
          <w:sz w:val="23"/>
          <w:szCs w:val="23"/>
          <w:lang w:val="sr-Latn-BA"/>
        </w:rPr>
      </w:pPr>
      <w:r w:rsidRPr="001707CF">
        <w:rPr>
          <w:rFonts w:ascii="Tahoma" w:hAnsi="Tahoma" w:cs="Tahoma"/>
          <w:sz w:val="23"/>
          <w:szCs w:val="23"/>
          <w:lang w:val="sr-Latn-BA"/>
        </w:rPr>
        <w:t>Slјedeći standardi, izmjene standarda i tumačenja izdati od strane IASB odnosno IFRIC su trebali da budu primijenjeni u pripremi finansijskih izvještaja za periode koji su počeli nakon 1. januara 2020. godine:</w:t>
      </w:r>
    </w:p>
    <w:p w14:paraId="6787A7C8" w14:textId="77777777" w:rsidR="00C165F8" w:rsidRPr="001707CF" w:rsidRDefault="00C165F8" w:rsidP="00C165F8">
      <w:pPr>
        <w:numPr>
          <w:ilvl w:val="0"/>
          <w:numId w:val="18"/>
        </w:numPr>
        <w:spacing w:after="120"/>
        <w:contextualSpacing/>
        <w:jc w:val="both"/>
        <w:rPr>
          <w:rFonts w:ascii="Tahoma" w:hAnsi="Tahoma" w:cs="Tahoma"/>
          <w:sz w:val="23"/>
          <w:szCs w:val="23"/>
          <w:lang w:val="sr-Latn-BA"/>
        </w:rPr>
      </w:pPr>
      <w:r w:rsidRPr="001707CF">
        <w:rPr>
          <w:rFonts w:ascii="Tahoma" w:hAnsi="Tahoma" w:cs="Tahoma"/>
          <w:sz w:val="23"/>
          <w:szCs w:val="23"/>
          <w:lang w:val="sr-Latn-BA"/>
        </w:rPr>
        <w:t>MSFI 16 „Lizing“ (na snazi za godišnje periode koji počinju na dan ili nakon 1. januara 2021. godine);</w:t>
      </w:r>
    </w:p>
    <w:p w14:paraId="5A3C9D1D" w14:textId="77777777" w:rsidR="00C165F8" w:rsidRPr="001707CF" w:rsidRDefault="00C165F8" w:rsidP="00C165F8">
      <w:pPr>
        <w:numPr>
          <w:ilvl w:val="0"/>
          <w:numId w:val="18"/>
        </w:numPr>
        <w:spacing w:after="120"/>
        <w:contextualSpacing/>
        <w:jc w:val="both"/>
        <w:rPr>
          <w:rFonts w:ascii="Tahoma" w:hAnsi="Tahoma" w:cs="Tahoma"/>
          <w:sz w:val="23"/>
          <w:szCs w:val="23"/>
          <w:lang w:val="sr-Latn-BA"/>
        </w:rPr>
      </w:pPr>
      <w:r w:rsidRPr="001707CF">
        <w:rPr>
          <w:rFonts w:ascii="Tahoma" w:hAnsi="Tahoma" w:cs="Tahoma"/>
          <w:sz w:val="23"/>
          <w:szCs w:val="23"/>
          <w:lang w:val="sr-Latn-BA"/>
        </w:rPr>
        <w:t xml:space="preserve">Izmjena MSFI 9 „Finansijski instrumenti“, MRS 39 „Finansijski instrumenti: priznavanje i mjerenje“, MSFI 7 „Finansijski instrumenti: objavljivanja“, MSFI 4 „Ugovori o osiguranju“ i MSFI 16 „Najmovi“- Reforma referentne kamatne stope – faza 2 (na snazi za godišnje periode koji počinju na ili nakon 1. januara 2021); </w:t>
      </w:r>
    </w:p>
    <w:p w14:paraId="62644C3B" w14:textId="77777777" w:rsidR="00C165F8" w:rsidRPr="001707CF" w:rsidRDefault="00C165F8" w:rsidP="00C165F8">
      <w:pPr>
        <w:numPr>
          <w:ilvl w:val="0"/>
          <w:numId w:val="18"/>
        </w:numPr>
        <w:spacing w:after="120"/>
        <w:contextualSpacing/>
        <w:jc w:val="both"/>
        <w:rPr>
          <w:rFonts w:ascii="Tahoma" w:hAnsi="Tahoma" w:cs="Tahoma"/>
          <w:sz w:val="23"/>
          <w:szCs w:val="23"/>
          <w:lang w:val="sr-Latn-BA"/>
        </w:rPr>
      </w:pPr>
      <w:r w:rsidRPr="001707CF">
        <w:rPr>
          <w:rFonts w:ascii="Tahoma" w:hAnsi="Tahoma" w:cs="Tahoma"/>
          <w:sz w:val="23"/>
          <w:szCs w:val="23"/>
          <w:lang w:val="sr-Latn-BA"/>
        </w:rPr>
        <w:t>Koncesije za iznajmljivanje u vezi sa COVID-19 nakon 30. juna 2021. godine (Izmjene MSFI 16) (na snazi za godišnje periode koji počinju 01. aprila 2021);</w:t>
      </w:r>
    </w:p>
    <w:p w14:paraId="3CCD6673" w14:textId="77777777" w:rsidR="00C165F8" w:rsidRPr="001707CF" w:rsidRDefault="00C165F8" w:rsidP="00C165F8">
      <w:pPr>
        <w:numPr>
          <w:ilvl w:val="0"/>
          <w:numId w:val="18"/>
        </w:numPr>
        <w:spacing w:after="120"/>
        <w:contextualSpacing/>
        <w:jc w:val="both"/>
        <w:rPr>
          <w:rFonts w:ascii="Tahoma" w:hAnsi="Tahoma" w:cs="Tahoma"/>
          <w:sz w:val="23"/>
          <w:szCs w:val="23"/>
          <w:lang w:val="sr-Latn-BA"/>
        </w:rPr>
      </w:pPr>
      <w:r w:rsidRPr="001707CF">
        <w:rPr>
          <w:rFonts w:ascii="Tahoma" w:hAnsi="Tahoma" w:cs="Tahoma"/>
          <w:sz w:val="23"/>
          <w:szCs w:val="23"/>
          <w:lang w:val="sr-Latn-BA"/>
        </w:rPr>
        <w:t>Reforma referentne kamatne stope, faza 2 (dopune MSFI 9, MRS 39, MSFI 7, MSFI 4 i MSFI 16) (na snazi za godišnje periode koji počinju na ili nakon 1. januara 2021. godine).</w:t>
      </w:r>
    </w:p>
    <w:p w14:paraId="2EE01CA6" w14:textId="77777777" w:rsidR="00C165F8" w:rsidRPr="001707CF" w:rsidRDefault="00C165F8" w:rsidP="00C165F8">
      <w:pPr>
        <w:numPr>
          <w:ilvl w:val="0"/>
          <w:numId w:val="18"/>
        </w:numPr>
        <w:spacing w:after="120"/>
        <w:contextualSpacing/>
        <w:jc w:val="both"/>
        <w:rPr>
          <w:rFonts w:ascii="Tahoma" w:hAnsi="Tahoma" w:cs="Tahoma"/>
          <w:sz w:val="23"/>
          <w:szCs w:val="23"/>
          <w:lang w:val="sr-Latn-BA"/>
        </w:rPr>
      </w:pPr>
      <w:r w:rsidRPr="001707CF">
        <w:rPr>
          <w:rFonts w:ascii="Tahoma" w:hAnsi="Tahoma" w:cs="Tahoma"/>
          <w:sz w:val="23"/>
          <w:szCs w:val="23"/>
          <w:lang w:val="sr-Latn-BA"/>
        </w:rPr>
        <w:t>Godišnja unapređenja MSFI „Ciklus 2018-2020“ – MSFI 1, MSFI 9 i MRS 41, objavlјena od strane IASB-a u septembru 2020. godine (na snazi za godišnje periode koji počinju na dan ili nakon 1. januara 2022. godine);</w:t>
      </w:r>
    </w:p>
    <w:p w14:paraId="66B7E218" w14:textId="77777777" w:rsidR="00C165F8" w:rsidRPr="001707CF" w:rsidRDefault="00C165F8" w:rsidP="00C165F8">
      <w:pPr>
        <w:numPr>
          <w:ilvl w:val="0"/>
          <w:numId w:val="18"/>
        </w:numPr>
        <w:spacing w:after="120"/>
        <w:contextualSpacing/>
        <w:jc w:val="both"/>
        <w:rPr>
          <w:rFonts w:ascii="Tahoma" w:hAnsi="Tahoma" w:cs="Tahoma"/>
          <w:sz w:val="23"/>
          <w:szCs w:val="23"/>
          <w:lang w:val="sr-Latn-BA"/>
        </w:rPr>
      </w:pPr>
      <w:r w:rsidRPr="001707CF">
        <w:rPr>
          <w:rFonts w:ascii="Tahoma" w:hAnsi="Tahoma" w:cs="Tahoma"/>
          <w:sz w:val="23"/>
          <w:szCs w:val="23"/>
          <w:lang w:val="sr-Latn-BA"/>
        </w:rPr>
        <w:lastRenderedPageBreak/>
        <w:t>Izmjene MSFI 3 zbog usaglašavanja sa novim Okvirom za finansijsko izvještavanje (na snazi za godišnje periode koji počinju na dan ili nakon 1. januara 2022. godine);</w:t>
      </w:r>
    </w:p>
    <w:p w14:paraId="3769B219" w14:textId="77777777" w:rsidR="00C165F8" w:rsidRPr="001707CF" w:rsidRDefault="00C165F8" w:rsidP="00C165F8">
      <w:pPr>
        <w:spacing w:after="120"/>
        <w:ind w:left="720"/>
        <w:contextualSpacing/>
        <w:jc w:val="both"/>
        <w:rPr>
          <w:rFonts w:ascii="Tahoma" w:hAnsi="Tahoma" w:cs="Tahoma"/>
          <w:sz w:val="23"/>
          <w:szCs w:val="23"/>
          <w:lang w:val="sr-Latn-BA"/>
        </w:rPr>
      </w:pPr>
    </w:p>
    <w:p w14:paraId="6CE23AD4" w14:textId="77777777" w:rsidR="00C165F8" w:rsidRPr="001707CF" w:rsidRDefault="00C165F8" w:rsidP="00C165F8">
      <w:pPr>
        <w:spacing w:after="120"/>
        <w:ind w:left="357"/>
        <w:jc w:val="both"/>
        <w:rPr>
          <w:rFonts w:ascii="Tahoma" w:hAnsi="Tahoma" w:cs="Tahoma"/>
          <w:sz w:val="23"/>
          <w:szCs w:val="23"/>
          <w:lang w:val="sr-Latn-BA"/>
        </w:rPr>
      </w:pPr>
    </w:p>
    <w:p w14:paraId="3DF7B760" w14:textId="77777777" w:rsidR="00C165F8" w:rsidRPr="001707CF" w:rsidRDefault="00C165F8" w:rsidP="00C165F8">
      <w:pPr>
        <w:spacing w:after="120"/>
        <w:jc w:val="both"/>
        <w:rPr>
          <w:rFonts w:ascii="Tahoma" w:hAnsi="Tahoma" w:cs="Tahoma"/>
          <w:i/>
          <w:sz w:val="23"/>
          <w:szCs w:val="23"/>
          <w:lang w:val="sr-Latn-BA"/>
        </w:rPr>
      </w:pPr>
      <w:r w:rsidRPr="001707CF">
        <w:rPr>
          <w:rFonts w:ascii="Tahoma" w:hAnsi="Tahoma" w:cs="Tahoma"/>
          <w:i/>
          <w:sz w:val="23"/>
          <w:szCs w:val="23"/>
          <w:lang w:val="sr-Latn-BA"/>
        </w:rPr>
        <w:t>Novousvojeni standardi, revizije i interpretacije standarda koji nisu stupili na snagu</w:t>
      </w:r>
    </w:p>
    <w:p w14:paraId="6342A821" w14:textId="77777777" w:rsidR="00C165F8" w:rsidRPr="001707CF" w:rsidRDefault="00C165F8" w:rsidP="00C165F8">
      <w:pPr>
        <w:spacing w:after="120"/>
        <w:jc w:val="both"/>
        <w:rPr>
          <w:rFonts w:ascii="Tahoma" w:hAnsi="Tahoma" w:cs="Tahoma"/>
          <w:sz w:val="23"/>
          <w:szCs w:val="23"/>
          <w:lang w:val="sr-Latn-BA"/>
        </w:rPr>
      </w:pPr>
      <w:r w:rsidRPr="001707CF">
        <w:rPr>
          <w:rFonts w:ascii="Tahoma" w:hAnsi="Tahoma" w:cs="Tahoma"/>
          <w:sz w:val="23"/>
          <w:szCs w:val="23"/>
          <w:lang w:val="sr-Latn-BA"/>
        </w:rPr>
        <w:t>Slјedeći standardi, izmjene standarda i tumačenja izdati su od strane IASB odnosno IFRIC do dana usvajanja ovih finansijskih izvještaja, ali još nisu stupili na snagu, niti je objavlјen njihov prevod od strane Ministarstva finansija, te nisu primijenjeni prilikom pripreme ovih finansijskih izvještaja:</w:t>
      </w:r>
    </w:p>
    <w:p w14:paraId="0F38D40E" w14:textId="77777777" w:rsidR="00C165F8" w:rsidRPr="001707CF" w:rsidRDefault="00C165F8" w:rsidP="00C165F8">
      <w:pPr>
        <w:numPr>
          <w:ilvl w:val="0"/>
          <w:numId w:val="19"/>
        </w:numPr>
        <w:spacing w:after="120"/>
        <w:contextualSpacing/>
        <w:jc w:val="both"/>
        <w:rPr>
          <w:rFonts w:ascii="Tahoma" w:hAnsi="Tahoma" w:cs="Tahoma"/>
          <w:sz w:val="23"/>
          <w:szCs w:val="23"/>
          <w:lang w:val="sr-Latn-BA"/>
        </w:rPr>
      </w:pPr>
      <w:r w:rsidRPr="001707CF">
        <w:rPr>
          <w:rFonts w:ascii="Tahoma" w:hAnsi="Tahoma" w:cs="Tahoma"/>
          <w:sz w:val="23"/>
          <w:szCs w:val="23"/>
          <w:lang w:val="sr-Latn-BA"/>
        </w:rPr>
        <w:t>MSFI 17 „Ugovori o osiguranju“, uključujući izmjene MSFI 17 (na snazi za godišnje periode koji počinju na dan ili nakon 1. januara 2027. godine);</w:t>
      </w:r>
    </w:p>
    <w:p w14:paraId="122BDD4D" w14:textId="77777777" w:rsidR="00C165F8" w:rsidRPr="001707CF" w:rsidRDefault="00C165F8" w:rsidP="00C165F8">
      <w:pPr>
        <w:numPr>
          <w:ilvl w:val="0"/>
          <w:numId w:val="19"/>
        </w:numPr>
        <w:spacing w:after="120"/>
        <w:contextualSpacing/>
        <w:jc w:val="both"/>
        <w:rPr>
          <w:rFonts w:ascii="Tahoma" w:hAnsi="Tahoma" w:cs="Tahoma"/>
          <w:sz w:val="23"/>
          <w:szCs w:val="23"/>
          <w:lang w:val="sr-Latn-BA"/>
        </w:rPr>
      </w:pPr>
      <w:r w:rsidRPr="001707CF">
        <w:rPr>
          <w:rFonts w:ascii="Tahoma" w:hAnsi="Tahoma" w:cs="Tahoma"/>
          <w:sz w:val="23"/>
          <w:szCs w:val="23"/>
          <w:lang w:val="sr-Latn-BA"/>
        </w:rPr>
        <w:t>Izmjene MRS 1 „Prezentacija finansijskih izvještaja“ – Klasifikacija obaveza na kratkoročne i dugoročne (na snazi za godišnje periode koji počinju na dan ili nakon 1. januara 2023. godine);</w:t>
      </w:r>
    </w:p>
    <w:p w14:paraId="37D5A000" w14:textId="77777777" w:rsidR="00C165F8" w:rsidRPr="001707CF" w:rsidRDefault="00C165F8" w:rsidP="00C165F8">
      <w:pPr>
        <w:numPr>
          <w:ilvl w:val="0"/>
          <w:numId w:val="19"/>
        </w:numPr>
        <w:spacing w:after="120"/>
        <w:contextualSpacing/>
        <w:jc w:val="both"/>
        <w:rPr>
          <w:rFonts w:ascii="Tahoma" w:hAnsi="Tahoma" w:cs="Tahoma"/>
          <w:sz w:val="23"/>
          <w:szCs w:val="23"/>
          <w:lang w:val="sr-Latn-BA"/>
        </w:rPr>
      </w:pPr>
      <w:r w:rsidRPr="001707CF">
        <w:rPr>
          <w:rFonts w:ascii="Tahoma" w:hAnsi="Tahoma" w:cs="Tahoma"/>
          <w:sz w:val="23"/>
          <w:szCs w:val="23"/>
          <w:lang w:val="sr-Latn-BA"/>
        </w:rPr>
        <w:t>Izmjene MRS 16 „Nekretnine, postrojenja i oprema“ – Prihodi prije namjeravane upotrebe (na snazi za godišnje periode koji počinju na dan ili nakon 1. januara 2022. godine);</w:t>
      </w:r>
    </w:p>
    <w:p w14:paraId="1967EF5A" w14:textId="77777777" w:rsidR="00C165F8" w:rsidRPr="001707CF" w:rsidRDefault="00C165F8" w:rsidP="00C165F8">
      <w:pPr>
        <w:numPr>
          <w:ilvl w:val="0"/>
          <w:numId w:val="19"/>
        </w:numPr>
        <w:spacing w:after="120"/>
        <w:contextualSpacing/>
        <w:jc w:val="both"/>
        <w:rPr>
          <w:rFonts w:ascii="Tahoma" w:hAnsi="Tahoma" w:cs="Tahoma"/>
          <w:sz w:val="23"/>
          <w:szCs w:val="23"/>
          <w:lang w:val="sr-Latn-BA"/>
        </w:rPr>
      </w:pPr>
      <w:r w:rsidRPr="001707CF">
        <w:rPr>
          <w:rFonts w:ascii="Tahoma" w:hAnsi="Tahoma" w:cs="Tahoma"/>
          <w:sz w:val="23"/>
          <w:szCs w:val="23"/>
          <w:lang w:val="sr-Latn-BA"/>
        </w:rPr>
        <w:t>Izmjene MRS 37 „Rezervisanja, potencijalne obaveze i potencijalna imovina“ – Štetni ugovori – Troškovi ispunjenja ugovora (na snazi za godišnje periode koji počinju na dan ili nakon 1. januara 2022. godine);</w:t>
      </w:r>
    </w:p>
    <w:p w14:paraId="435610E2" w14:textId="77777777" w:rsidR="00C165F8" w:rsidRPr="001707CF" w:rsidRDefault="00C165F8" w:rsidP="00C165F8">
      <w:pPr>
        <w:numPr>
          <w:ilvl w:val="0"/>
          <w:numId w:val="19"/>
        </w:numPr>
        <w:spacing w:after="120"/>
        <w:contextualSpacing/>
        <w:jc w:val="both"/>
        <w:rPr>
          <w:rFonts w:ascii="Tahoma" w:hAnsi="Tahoma" w:cs="Tahoma"/>
          <w:sz w:val="23"/>
          <w:szCs w:val="23"/>
          <w:lang w:val="sr-Latn-BA"/>
        </w:rPr>
      </w:pPr>
      <w:r w:rsidRPr="001707CF">
        <w:rPr>
          <w:rFonts w:ascii="Tahoma" w:hAnsi="Tahoma" w:cs="Tahoma"/>
          <w:sz w:val="23"/>
          <w:szCs w:val="23"/>
          <w:lang w:val="sr-Latn-BA"/>
        </w:rPr>
        <w:t>Izmjene MSFI 3 „Poslovna spajanja“ – Reference na konceptualni okvir s izmjenama i dopunama MSFI 3 (na snazi za godišnje periode koji počinju na dan ili nakon 1. januara 2022. godine);</w:t>
      </w:r>
    </w:p>
    <w:p w14:paraId="57D288FD" w14:textId="77777777" w:rsidR="00C165F8" w:rsidRPr="001707CF" w:rsidRDefault="00C165F8" w:rsidP="00C165F8">
      <w:pPr>
        <w:numPr>
          <w:ilvl w:val="0"/>
          <w:numId w:val="19"/>
        </w:numPr>
        <w:spacing w:after="120"/>
        <w:contextualSpacing/>
        <w:jc w:val="both"/>
        <w:rPr>
          <w:rFonts w:ascii="Tahoma" w:hAnsi="Tahoma" w:cs="Tahoma"/>
          <w:sz w:val="23"/>
          <w:szCs w:val="23"/>
          <w:lang w:val="sr-Latn-BA"/>
        </w:rPr>
      </w:pPr>
      <w:r w:rsidRPr="001707CF">
        <w:rPr>
          <w:rFonts w:ascii="Tahoma" w:hAnsi="Tahoma" w:cs="Tahoma"/>
          <w:sz w:val="23"/>
          <w:szCs w:val="23"/>
          <w:lang w:val="sr-Latn-BA"/>
        </w:rPr>
        <w:t>Izmjene MSFI 4 „Ugovori o osiguranja“ – Produženje privremenog izuzeća od primjene MSFI 9 (datum isteka privremenog izuzeća od MSFI 9 produžen je na godišnje periode koji počinju na dan ili nakon 1. januara 2023.); Izmjene MSFI 10 „Konsolidovani finansijski izvještaji“ i MRS 28 „Ulaganja u pridružena društva i zajedničke poduhvate“ – Prodaja ili doprinos imovine između investitora i njegovog pridruženog društva ili zajedničkog poduhvata i dalje izmjene i dopune (datum stupanja na snagu odložen na neodređeno vrijeme do okončanja istraživačkog projekta o kapitalnoj metodi),</w:t>
      </w:r>
    </w:p>
    <w:p w14:paraId="42DE386A" w14:textId="77777777" w:rsidR="00C165F8" w:rsidRPr="001707CF" w:rsidRDefault="00C165F8" w:rsidP="00C165F8">
      <w:pPr>
        <w:numPr>
          <w:ilvl w:val="0"/>
          <w:numId w:val="19"/>
        </w:numPr>
        <w:spacing w:after="120"/>
        <w:contextualSpacing/>
        <w:jc w:val="both"/>
        <w:rPr>
          <w:rFonts w:ascii="Tahoma" w:hAnsi="Tahoma" w:cs="Tahoma"/>
          <w:sz w:val="23"/>
          <w:szCs w:val="23"/>
          <w:lang w:val="sr-Latn-BA"/>
        </w:rPr>
      </w:pPr>
      <w:r w:rsidRPr="001707CF">
        <w:rPr>
          <w:rFonts w:ascii="Tahoma" w:hAnsi="Tahoma" w:cs="Tahoma"/>
          <w:sz w:val="23"/>
          <w:szCs w:val="23"/>
          <w:lang w:val="sr-Latn-BA"/>
        </w:rPr>
        <w:t>Izmjene i dopune različitih standarda zbog „Poboljšanja MSFI-jeva (ciklus 2018.-2020.)“ koji proizilaze iz godišnjeg projekta poboljšanja MSFI-jeva (MSFI 1, MSFI 9, MSFI 16 i MRS 41) prvenstveno radi uklanjanja nedosljednosti i pojašnjavanja formulacija (Izmjene MSFI 1, MSFI 9 i MRS 41 na snazi su za godišnje periode koji počinju na dan ili nakon 1. januara 2022. godine).</w:t>
      </w:r>
    </w:p>
    <w:p w14:paraId="62270090" w14:textId="77777777" w:rsidR="00C165F8" w:rsidRPr="001707CF" w:rsidRDefault="00C165F8" w:rsidP="00C165F8">
      <w:pPr>
        <w:numPr>
          <w:ilvl w:val="0"/>
          <w:numId w:val="19"/>
        </w:numPr>
        <w:spacing w:after="120"/>
        <w:contextualSpacing/>
        <w:jc w:val="both"/>
        <w:rPr>
          <w:rFonts w:ascii="Tahoma" w:hAnsi="Tahoma" w:cs="Tahoma"/>
          <w:sz w:val="23"/>
          <w:szCs w:val="23"/>
          <w:lang w:val="sr-Latn-BA"/>
        </w:rPr>
      </w:pPr>
      <w:r w:rsidRPr="001707CF">
        <w:rPr>
          <w:rFonts w:ascii="Tahoma" w:hAnsi="Tahoma" w:cs="Tahoma"/>
          <w:sz w:val="23"/>
          <w:szCs w:val="23"/>
          <w:lang w:val="sr-Latn-BA"/>
        </w:rPr>
        <w:t>Izmjene MRS 1 u vezi sa objavlјivanjem računovodstvenih politika u finansijskim izvještajima entiteta (na snazi za godišnje periode koji počinju na dan ili nakon 1. januara 2023. godine) i</w:t>
      </w:r>
    </w:p>
    <w:p w14:paraId="0D4D8E26" w14:textId="77777777" w:rsidR="00C165F8" w:rsidRPr="001707CF" w:rsidRDefault="00C165F8" w:rsidP="00C165F8">
      <w:pPr>
        <w:numPr>
          <w:ilvl w:val="0"/>
          <w:numId w:val="19"/>
        </w:numPr>
        <w:spacing w:after="120"/>
        <w:contextualSpacing/>
        <w:jc w:val="both"/>
        <w:rPr>
          <w:rFonts w:ascii="Tahoma" w:hAnsi="Tahoma" w:cs="Tahoma"/>
          <w:sz w:val="23"/>
          <w:szCs w:val="23"/>
          <w:lang w:val="sr-Latn-BA"/>
        </w:rPr>
      </w:pPr>
      <w:r w:rsidRPr="001707CF">
        <w:rPr>
          <w:rFonts w:ascii="Tahoma" w:hAnsi="Tahoma" w:cs="Tahoma"/>
          <w:sz w:val="23"/>
          <w:szCs w:val="23"/>
          <w:lang w:val="sr-Latn-BA"/>
        </w:rPr>
        <w:t>Izmjene MRS 8 u vezi sa definicijom računovodstvenih procjena (na snazi za godišnje periode koji počinju na dan ili nakon 1. januara 2023. godine).</w:t>
      </w:r>
    </w:p>
    <w:p w14:paraId="7353089D" w14:textId="77777777" w:rsidR="00C165F8" w:rsidRDefault="00C165F8" w:rsidP="00C165F8"/>
    <w:p w14:paraId="537E73CF" w14:textId="77777777" w:rsidR="00C165F8" w:rsidRPr="001707CF" w:rsidRDefault="00C165F8" w:rsidP="00C165F8">
      <w:pPr>
        <w:autoSpaceDE w:val="0"/>
        <w:autoSpaceDN w:val="0"/>
        <w:adjustRightInd w:val="0"/>
        <w:spacing w:after="120"/>
        <w:rPr>
          <w:rFonts w:ascii="Tahoma" w:hAnsi="Tahoma" w:cs="Tahoma"/>
          <w:b/>
          <w:bCs/>
          <w:color w:val="000000"/>
          <w:sz w:val="23"/>
          <w:szCs w:val="23"/>
          <w:lang w:val="sr-Latn-BA"/>
        </w:rPr>
      </w:pPr>
    </w:p>
    <w:p w14:paraId="352DA0F2" w14:textId="77777777" w:rsidR="00C165F8" w:rsidRPr="001707CF" w:rsidRDefault="00C165F8" w:rsidP="00C165F8">
      <w:pPr>
        <w:numPr>
          <w:ilvl w:val="1"/>
          <w:numId w:val="22"/>
        </w:numPr>
        <w:autoSpaceDE w:val="0"/>
        <w:autoSpaceDN w:val="0"/>
        <w:adjustRightInd w:val="0"/>
        <w:spacing w:after="120"/>
        <w:rPr>
          <w:rFonts w:ascii="Tahoma" w:hAnsi="Tahoma" w:cs="Tahoma"/>
          <w:b/>
          <w:bCs/>
          <w:color w:val="000000"/>
          <w:sz w:val="23"/>
          <w:szCs w:val="23"/>
          <w:lang w:val="sr-Latn-BA"/>
        </w:rPr>
      </w:pPr>
      <w:r w:rsidRPr="001707CF">
        <w:rPr>
          <w:rFonts w:ascii="Tahoma" w:hAnsi="Tahoma" w:cs="Tahoma"/>
          <w:b/>
          <w:bCs/>
          <w:color w:val="000000"/>
          <w:sz w:val="23"/>
          <w:szCs w:val="23"/>
          <w:lang w:val="sr-Latn-BA"/>
        </w:rPr>
        <w:t>Korišćenje procjenjivanja</w:t>
      </w:r>
    </w:p>
    <w:p w14:paraId="3284281A" w14:textId="77777777" w:rsidR="00C165F8" w:rsidRPr="001707CF" w:rsidRDefault="00C165F8" w:rsidP="00C165F8">
      <w:pPr>
        <w:suppressAutoHyphens/>
        <w:spacing w:after="120"/>
        <w:jc w:val="both"/>
        <w:rPr>
          <w:rFonts w:ascii="Tahoma" w:hAnsi="Tahoma" w:cs="Tahoma"/>
          <w:sz w:val="23"/>
          <w:szCs w:val="23"/>
          <w:lang w:val="sr-Latn-BA"/>
        </w:rPr>
      </w:pPr>
      <w:r w:rsidRPr="001707CF">
        <w:rPr>
          <w:rFonts w:ascii="Tahoma" w:hAnsi="Tahoma" w:cs="Tahoma"/>
          <w:sz w:val="23"/>
          <w:szCs w:val="23"/>
          <w:lang w:val="sr-Latn-BA"/>
        </w:rPr>
        <w:t xml:space="preserve">Prezentacija finansijskih izvještaja zahtjeva od rukovodstva korišćenje najboljih mogućih procjena i razumnih pretpostavki, koje imaju efekta na prezentovane vrijednosti sredstava i obaveza i objelodanjivanje potencijalnih sredstava i obaveza na dan sastavljanja finansijskih izvještaja, kao i prihoda i rashoda u toku izvještajnog perioda. Ove procjene i pretpostavke su zasnovane na </w:t>
      </w:r>
      <w:r w:rsidRPr="001707CF">
        <w:rPr>
          <w:rFonts w:ascii="Tahoma" w:hAnsi="Tahoma" w:cs="Tahoma"/>
          <w:sz w:val="23"/>
          <w:szCs w:val="23"/>
          <w:lang w:val="sr-Latn-BA"/>
        </w:rPr>
        <w:lastRenderedPageBreak/>
        <w:t>informacijama raspoloživim na dan sastavljanja finansijskih izvještaja, a budući stvarni rezultati mogu se razlikovati od procijenjenih iznosa.</w:t>
      </w:r>
    </w:p>
    <w:p w14:paraId="13032C2A" w14:textId="77777777" w:rsidR="00C165F8" w:rsidRPr="001707CF" w:rsidRDefault="00C165F8" w:rsidP="00C165F8">
      <w:pPr>
        <w:autoSpaceDE w:val="0"/>
        <w:autoSpaceDN w:val="0"/>
        <w:adjustRightInd w:val="0"/>
        <w:spacing w:after="120"/>
        <w:jc w:val="both"/>
        <w:rPr>
          <w:rFonts w:ascii="Tahoma" w:hAnsi="Tahoma" w:cs="Tahoma"/>
          <w:sz w:val="23"/>
          <w:szCs w:val="23"/>
          <w:lang w:val="sr-Latn-BA"/>
        </w:rPr>
      </w:pPr>
    </w:p>
    <w:p w14:paraId="7BC1FC01" w14:textId="77777777" w:rsidR="00C165F8" w:rsidRPr="001707CF" w:rsidRDefault="00C165F8" w:rsidP="00C165F8">
      <w:pPr>
        <w:numPr>
          <w:ilvl w:val="0"/>
          <w:numId w:val="22"/>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PREGLED ZNAČAJNIH RAČUNOVODSTVENIH POLITIKA</w:t>
      </w:r>
    </w:p>
    <w:p w14:paraId="5BEDADC5" w14:textId="77777777" w:rsidR="00C165F8" w:rsidRPr="001707CF" w:rsidRDefault="00C165F8" w:rsidP="00C165F8">
      <w:pPr>
        <w:spacing w:after="120"/>
        <w:jc w:val="both"/>
        <w:rPr>
          <w:rFonts w:ascii="Tahoma" w:hAnsi="Tahoma" w:cs="Tahoma"/>
          <w:b/>
          <w:sz w:val="23"/>
          <w:szCs w:val="23"/>
          <w:lang w:val="sr-Latn-BA"/>
        </w:rPr>
      </w:pPr>
      <w:r w:rsidRPr="001707CF">
        <w:rPr>
          <w:rFonts w:ascii="Tahoma" w:hAnsi="Tahoma" w:cs="Tahoma"/>
          <w:b/>
          <w:sz w:val="23"/>
          <w:szCs w:val="23"/>
          <w:lang w:val="sr-Latn-BA"/>
        </w:rPr>
        <w:t>Realizovani prihodi i rashodi</w:t>
      </w:r>
    </w:p>
    <w:p w14:paraId="48303EB3" w14:textId="77777777" w:rsidR="00C165F8" w:rsidRPr="001707CF" w:rsidRDefault="00C165F8" w:rsidP="00C165F8">
      <w:pPr>
        <w:spacing w:after="120"/>
        <w:jc w:val="both"/>
        <w:rPr>
          <w:rFonts w:ascii="Tahoma" w:hAnsi="Tahoma" w:cs="Tahoma"/>
          <w:sz w:val="23"/>
          <w:szCs w:val="23"/>
          <w:lang w:val="sr-Latn-BA"/>
        </w:rPr>
      </w:pPr>
      <w:r w:rsidRPr="001707CF">
        <w:rPr>
          <w:rFonts w:ascii="Tahoma" w:hAnsi="Tahoma" w:cs="Tahoma"/>
          <w:sz w:val="23"/>
          <w:szCs w:val="23"/>
          <w:lang w:val="sr-Latn-BA"/>
        </w:rPr>
        <w:t>Poslovni prihodi obuhvataju prihode od dividendi, prihode od kamata i amortizacije premije (diskonta) po osnovu HOV sa fiksnim rokom dospijeća i ostale poslovne prihode.</w:t>
      </w:r>
    </w:p>
    <w:p w14:paraId="7DE23496" w14:textId="77777777" w:rsidR="00C165F8" w:rsidRPr="001707CF" w:rsidRDefault="00C165F8" w:rsidP="00C165F8">
      <w:pPr>
        <w:spacing w:after="120"/>
        <w:jc w:val="both"/>
        <w:rPr>
          <w:rFonts w:ascii="Tahoma" w:hAnsi="Tahoma" w:cs="Tahoma"/>
          <w:sz w:val="23"/>
          <w:szCs w:val="23"/>
          <w:lang w:val="sr-Latn-BA"/>
        </w:rPr>
      </w:pPr>
      <w:r w:rsidRPr="001707CF">
        <w:rPr>
          <w:rFonts w:ascii="Tahoma" w:hAnsi="Tahoma" w:cs="Tahoma"/>
          <w:sz w:val="23"/>
          <w:szCs w:val="23"/>
          <w:lang w:val="sr-Latn-BA"/>
        </w:rPr>
        <w:t>Realizovani dobitak obuhvata realizovane dobitke po osnovu prodaje hartija od vrijednosti, realizovane dobitke po osnovu kursnih razlika i ostale realizovane dobitke.</w:t>
      </w:r>
    </w:p>
    <w:p w14:paraId="6A085D58" w14:textId="77777777" w:rsidR="00C165F8" w:rsidRPr="001707CF" w:rsidRDefault="00C165F8" w:rsidP="00C165F8">
      <w:pPr>
        <w:spacing w:after="120"/>
        <w:jc w:val="both"/>
        <w:rPr>
          <w:rFonts w:ascii="Tahoma" w:hAnsi="Tahoma" w:cs="Tahoma"/>
          <w:iCs/>
          <w:sz w:val="23"/>
          <w:szCs w:val="23"/>
          <w:lang w:val="sr-Latn-BA"/>
        </w:rPr>
      </w:pPr>
      <w:r w:rsidRPr="001707CF">
        <w:rPr>
          <w:rFonts w:ascii="Tahoma" w:hAnsi="Tahoma" w:cs="Tahoma"/>
          <w:iCs/>
          <w:sz w:val="23"/>
          <w:szCs w:val="23"/>
          <w:lang w:val="sr-Latn-BA"/>
        </w:rPr>
        <w:t>Prihodi od dividendi se evidentiraju kad se ostvari pravo na dividendu, a ako je isplata povezana sa visokim rizikom, tada se priznaju u trenutku naplate.</w:t>
      </w:r>
    </w:p>
    <w:p w14:paraId="5DF1E6BD" w14:textId="77777777" w:rsidR="00C165F8" w:rsidRPr="001707CF" w:rsidRDefault="00C165F8" w:rsidP="00C165F8">
      <w:pPr>
        <w:spacing w:after="120"/>
        <w:jc w:val="both"/>
        <w:rPr>
          <w:rFonts w:ascii="Tahoma" w:hAnsi="Tahoma" w:cs="Tahoma"/>
          <w:iCs/>
          <w:sz w:val="23"/>
          <w:szCs w:val="23"/>
          <w:lang w:val="sr-Latn-BA"/>
        </w:rPr>
      </w:pPr>
      <w:r w:rsidRPr="001707CF">
        <w:rPr>
          <w:rFonts w:ascii="Tahoma" w:hAnsi="Tahoma" w:cs="Tahoma"/>
          <w:iCs/>
          <w:sz w:val="23"/>
          <w:szCs w:val="23"/>
          <w:lang w:val="sr-Latn-BA"/>
        </w:rPr>
        <w:t xml:space="preserve">Prihodi od kamata i amortizacije premije (diskonta) po osnovu HOV sa fiksnim rokom dospijeća predstavljaju prihode koje Fond ostvaruje po osnovu dužničkih hartija od vrijednosti i po osnovu depozita. </w:t>
      </w:r>
    </w:p>
    <w:p w14:paraId="242DBE79" w14:textId="77777777" w:rsidR="00C165F8" w:rsidRPr="001707CF" w:rsidRDefault="00C165F8" w:rsidP="00C165F8">
      <w:pPr>
        <w:spacing w:after="120"/>
        <w:jc w:val="both"/>
        <w:rPr>
          <w:rFonts w:ascii="Tahoma" w:hAnsi="Tahoma" w:cs="Tahoma"/>
          <w:iCs/>
          <w:sz w:val="23"/>
          <w:szCs w:val="23"/>
          <w:lang w:val="sr-Latn-BA"/>
        </w:rPr>
      </w:pPr>
      <w:r w:rsidRPr="001707CF">
        <w:rPr>
          <w:rFonts w:ascii="Tahoma" w:hAnsi="Tahoma" w:cs="Tahoma"/>
          <w:iCs/>
          <w:sz w:val="23"/>
          <w:szCs w:val="23"/>
          <w:lang w:val="sr-Latn-BA"/>
        </w:rPr>
        <w:t>Ostali poslovni prihodi podrazumijevaju ostale poslovne prihode koji nisu sadržani u naprijed navedenim prihodima.</w:t>
      </w:r>
    </w:p>
    <w:p w14:paraId="09F0EB52" w14:textId="77777777" w:rsidR="00C165F8" w:rsidRPr="001707CF" w:rsidRDefault="00C165F8" w:rsidP="00C165F8">
      <w:pPr>
        <w:spacing w:after="120"/>
        <w:jc w:val="both"/>
        <w:rPr>
          <w:rFonts w:ascii="Tahoma" w:hAnsi="Tahoma" w:cs="Tahoma"/>
          <w:iCs/>
          <w:sz w:val="23"/>
          <w:szCs w:val="23"/>
          <w:lang w:val="sr-Latn-BA"/>
        </w:rPr>
      </w:pPr>
      <w:r w:rsidRPr="001707CF">
        <w:rPr>
          <w:rFonts w:ascii="Tahoma" w:hAnsi="Tahoma" w:cs="Tahoma"/>
          <w:iCs/>
          <w:sz w:val="23"/>
          <w:szCs w:val="23"/>
          <w:lang w:val="sr-Latn-BA"/>
        </w:rPr>
        <w:t>Poslovni rashodi se evidentiraju u trenutku njihovog nastanka i sastoje se od naknade Društvu, troškova kupovine i prodaje ulaganja, rashoda po osnovu kamata, naknade depozitaru, rashoda po osnovu poreza i ostalih poslovnih rashoda Fonda.</w:t>
      </w:r>
    </w:p>
    <w:p w14:paraId="7A806793" w14:textId="77777777" w:rsidR="00C165F8" w:rsidRPr="001707CF" w:rsidRDefault="00C165F8" w:rsidP="00C165F8">
      <w:pPr>
        <w:spacing w:after="120"/>
        <w:jc w:val="both"/>
        <w:rPr>
          <w:rFonts w:ascii="Tahoma" w:hAnsi="Tahoma" w:cs="Tahoma"/>
          <w:iCs/>
          <w:sz w:val="23"/>
          <w:szCs w:val="23"/>
          <w:lang w:val="sr-Latn-BA"/>
        </w:rPr>
      </w:pPr>
      <w:r w:rsidRPr="001707CF">
        <w:rPr>
          <w:rFonts w:ascii="Tahoma" w:hAnsi="Tahoma" w:cs="Tahoma"/>
          <w:iCs/>
          <w:sz w:val="23"/>
          <w:szCs w:val="23"/>
          <w:lang w:val="sr-Latn-BA"/>
        </w:rPr>
        <w:t xml:space="preserve">Svi troškovi koji se mogu obračunati na teret imovine Fonda definisani su zakonom. </w:t>
      </w:r>
    </w:p>
    <w:p w14:paraId="2B127AD9" w14:textId="77777777" w:rsidR="00C165F8" w:rsidRPr="001707CF" w:rsidRDefault="00C165F8" w:rsidP="00C165F8">
      <w:pPr>
        <w:spacing w:after="120"/>
        <w:jc w:val="both"/>
        <w:rPr>
          <w:rFonts w:ascii="Tahoma" w:hAnsi="Tahoma" w:cs="Tahoma"/>
          <w:iCs/>
          <w:sz w:val="23"/>
          <w:szCs w:val="23"/>
          <w:lang w:val="sr-Latn-BA"/>
        </w:rPr>
      </w:pPr>
      <w:r w:rsidRPr="001707CF">
        <w:rPr>
          <w:rFonts w:ascii="Tahoma" w:hAnsi="Tahoma" w:cs="Tahoma"/>
          <w:iCs/>
          <w:sz w:val="23"/>
          <w:szCs w:val="23"/>
          <w:lang w:val="sr-Latn-BA"/>
        </w:rPr>
        <w:t>Provizija za upravljanje koju Društvo obračunava Fondu obračunava se svakog dana primjenom odgovarajućeg procenta u odnosu na neto imovinu koji je u skladu sa zakonom, a naveden je u Prospektu Fonda.</w:t>
      </w:r>
    </w:p>
    <w:p w14:paraId="7EFFA7D3" w14:textId="77777777" w:rsidR="00C165F8" w:rsidRPr="001707CF" w:rsidRDefault="00C165F8" w:rsidP="00C165F8">
      <w:pPr>
        <w:spacing w:after="120"/>
        <w:jc w:val="both"/>
        <w:rPr>
          <w:rFonts w:ascii="Tahoma" w:hAnsi="Tahoma" w:cs="Tahoma"/>
          <w:iCs/>
          <w:sz w:val="23"/>
          <w:szCs w:val="23"/>
          <w:lang w:val="sr-Latn-BA"/>
        </w:rPr>
      </w:pPr>
      <w:r w:rsidRPr="001707CF">
        <w:rPr>
          <w:rFonts w:ascii="Tahoma" w:hAnsi="Tahoma" w:cs="Tahoma"/>
          <w:iCs/>
          <w:sz w:val="23"/>
          <w:szCs w:val="23"/>
          <w:lang w:val="sr-Latn-BA"/>
        </w:rPr>
        <w:t>Društvo mjesečno fakturiše Fondu naknadu za svoje upravljanje.</w:t>
      </w:r>
    </w:p>
    <w:p w14:paraId="30D6576B" w14:textId="77777777" w:rsidR="00C165F8" w:rsidRPr="001707CF" w:rsidRDefault="00C165F8" w:rsidP="00C165F8">
      <w:pPr>
        <w:spacing w:after="120"/>
        <w:jc w:val="both"/>
        <w:rPr>
          <w:rFonts w:ascii="Tahoma" w:hAnsi="Tahoma" w:cs="Tahoma"/>
          <w:iCs/>
          <w:sz w:val="23"/>
          <w:szCs w:val="23"/>
          <w:lang w:val="sr-Latn-BA"/>
        </w:rPr>
      </w:pPr>
      <w:r w:rsidRPr="001707CF">
        <w:rPr>
          <w:rFonts w:ascii="Tahoma" w:hAnsi="Tahoma" w:cs="Tahoma"/>
          <w:iCs/>
          <w:sz w:val="23"/>
          <w:szCs w:val="23"/>
          <w:lang w:val="sr-Latn-BA"/>
        </w:rPr>
        <w:t>Depozitar kontroliše obračun koji je Društvo napravilo, potvrđuje ga i odgovoran je za tačnost.</w:t>
      </w:r>
    </w:p>
    <w:p w14:paraId="29E470D3" w14:textId="77777777" w:rsidR="00C165F8" w:rsidRPr="001707CF" w:rsidRDefault="00C165F8" w:rsidP="00C165F8">
      <w:pPr>
        <w:spacing w:after="120"/>
        <w:jc w:val="both"/>
        <w:rPr>
          <w:rFonts w:ascii="Tahoma" w:hAnsi="Tahoma" w:cs="Tahoma"/>
          <w:iCs/>
          <w:sz w:val="23"/>
          <w:szCs w:val="23"/>
          <w:lang w:val="sr-Latn-BA"/>
        </w:rPr>
      </w:pPr>
      <w:r w:rsidRPr="001707CF">
        <w:rPr>
          <w:rFonts w:ascii="Tahoma" w:hAnsi="Tahoma" w:cs="Tahoma"/>
          <w:iCs/>
          <w:sz w:val="23"/>
          <w:szCs w:val="23"/>
          <w:lang w:val="sr-Latn-BA"/>
        </w:rPr>
        <w:t>Realizovani gubitak obuhvata realizovane gubitke na prodaji hartija od vrijednosti, realizovane gubitke po osnovu kursnih razlika i ostale realizovane gubitke.</w:t>
      </w:r>
    </w:p>
    <w:p w14:paraId="3BC91709" w14:textId="77777777" w:rsidR="00C165F8" w:rsidRPr="001707CF" w:rsidRDefault="00C165F8" w:rsidP="00C165F8">
      <w:pPr>
        <w:spacing w:after="120"/>
        <w:jc w:val="both"/>
        <w:rPr>
          <w:rFonts w:ascii="Tahoma" w:hAnsi="Tahoma" w:cs="Tahoma"/>
          <w:b/>
          <w:sz w:val="23"/>
          <w:szCs w:val="23"/>
          <w:lang w:val="sr-Latn-BA"/>
        </w:rPr>
      </w:pPr>
      <w:r w:rsidRPr="001707CF">
        <w:rPr>
          <w:rFonts w:ascii="Tahoma" w:hAnsi="Tahoma" w:cs="Tahoma"/>
          <w:b/>
          <w:sz w:val="23"/>
          <w:szCs w:val="23"/>
          <w:lang w:val="sr-Latn-BA"/>
        </w:rPr>
        <w:t>Realizovani dobici i gubici od prodaje ulaganja</w:t>
      </w:r>
    </w:p>
    <w:p w14:paraId="2C857994" w14:textId="77777777" w:rsidR="00C165F8" w:rsidRPr="001707CF" w:rsidRDefault="00C165F8" w:rsidP="00C165F8">
      <w:pPr>
        <w:spacing w:after="120"/>
        <w:jc w:val="both"/>
        <w:rPr>
          <w:rFonts w:ascii="Tahoma" w:hAnsi="Tahoma" w:cs="Tahoma"/>
          <w:bCs/>
          <w:sz w:val="23"/>
          <w:szCs w:val="23"/>
          <w:lang w:val="sr-Latn-BA"/>
        </w:rPr>
      </w:pPr>
      <w:r w:rsidRPr="001707CF">
        <w:rPr>
          <w:rFonts w:ascii="Tahoma" w:hAnsi="Tahoma" w:cs="Tahoma"/>
          <w:bCs/>
          <w:sz w:val="23"/>
          <w:szCs w:val="23"/>
          <w:lang w:val="sr-Latn-BA"/>
        </w:rPr>
        <w:t>Realizovani dobitak od prodaje ulaganja se iskazuje ako se prodaja izvrši po cijenama koje su više u odnosu na nabavnu vrijednost ulaganja. U obrnutom slučaju biće evidentiran realizovani gubitak.</w:t>
      </w:r>
    </w:p>
    <w:p w14:paraId="1795FD48" w14:textId="77777777" w:rsidR="00C165F8" w:rsidRPr="001707CF" w:rsidRDefault="00C165F8" w:rsidP="00C165F8">
      <w:pPr>
        <w:spacing w:after="120"/>
        <w:jc w:val="both"/>
        <w:rPr>
          <w:rFonts w:ascii="Tahoma" w:hAnsi="Tahoma" w:cs="Tahoma"/>
          <w:bCs/>
          <w:sz w:val="23"/>
          <w:szCs w:val="23"/>
          <w:lang w:val="sr-Latn-BA"/>
        </w:rPr>
      </w:pPr>
      <w:r w:rsidRPr="001707CF">
        <w:rPr>
          <w:rFonts w:ascii="Tahoma" w:hAnsi="Tahoma" w:cs="Tahoma"/>
          <w:bCs/>
          <w:sz w:val="23"/>
          <w:szCs w:val="23"/>
          <w:lang w:val="sr-Latn-BA"/>
        </w:rPr>
        <w:t>Prilikom knjigovodstvenog evidentiranje prodaje ulaganja, isknjižavaju se i svi pripadajući nerealizovani dobici i gubici koji se odnose na to ulaganje, bilo da su iskazani na računima uspjeha ili u revalorizacionim rezervama. Oni prodajom postaju realizovani i uključuju se u obračun ukupnog dobitka ili gubitka ostvarenog prodajom ulaganja iz portfelja.</w:t>
      </w:r>
    </w:p>
    <w:p w14:paraId="702276D0" w14:textId="77777777" w:rsidR="00C165F8" w:rsidRPr="001707CF" w:rsidRDefault="00C165F8" w:rsidP="00C165F8">
      <w:pPr>
        <w:spacing w:after="120"/>
        <w:jc w:val="both"/>
        <w:rPr>
          <w:rFonts w:ascii="Tahoma" w:hAnsi="Tahoma" w:cs="Tahoma"/>
          <w:bCs/>
          <w:sz w:val="23"/>
          <w:szCs w:val="23"/>
          <w:lang w:val="sr-Latn-BA"/>
        </w:rPr>
      </w:pPr>
      <w:r w:rsidRPr="001707CF">
        <w:rPr>
          <w:rFonts w:ascii="Tahoma" w:hAnsi="Tahoma" w:cs="Tahoma"/>
          <w:bCs/>
          <w:sz w:val="23"/>
          <w:szCs w:val="23"/>
          <w:lang w:val="sr-Latn-BA"/>
        </w:rPr>
        <w:t>Ostali prihodi i rashodi se knjiže po načelu uzročnosti.</w:t>
      </w:r>
    </w:p>
    <w:p w14:paraId="75350A96" w14:textId="77777777" w:rsidR="00C165F8" w:rsidRPr="001707CF" w:rsidRDefault="00C165F8" w:rsidP="00C165F8">
      <w:pPr>
        <w:spacing w:after="120"/>
        <w:jc w:val="both"/>
        <w:rPr>
          <w:rFonts w:ascii="Tahoma" w:hAnsi="Tahoma" w:cs="Tahoma"/>
          <w:iCs/>
          <w:sz w:val="23"/>
          <w:szCs w:val="23"/>
          <w:lang w:val="sr-Latn-BA"/>
        </w:rPr>
      </w:pPr>
      <w:r w:rsidRPr="001707CF">
        <w:rPr>
          <w:rFonts w:ascii="Tahoma" w:hAnsi="Tahoma" w:cs="Tahoma"/>
          <w:b/>
          <w:sz w:val="23"/>
          <w:szCs w:val="23"/>
          <w:lang w:val="sr-Latn-BA"/>
        </w:rPr>
        <w:t>Nerealizovani dobici i gubici</w:t>
      </w:r>
    </w:p>
    <w:p w14:paraId="0EE4149B" w14:textId="77777777" w:rsidR="00C165F8" w:rsidRPr="001707CF" w:rsidRDefault="00C165F8" w:rsidP="00C165F8">
      <w:pPr>
        <w:spacing w:after="120"/>
        <w:jc w:val="both"/>
        <w:rPr>
          <w:rFonts w:ascii="Tahoma" w:hAnsi="Tahoma" w:cs="Tahoma"/>
          <w:sz w:val="23"/>
          <w:szCs w:val="23"/>
          <w:lang w:val="sr-Latn-BA"/>
        </w:rPr>
      </w:pPr>
      <w:r w:rsidRPr="001707CF">
        <w:rPr>
          <w:rFonts w:ascii="Tahoma" w:hAnsi="Tahoma" w:cs="Tahoma"/>
          <w:sz w:val="23"/>
          <w:szCs w:val="23"/>
          <w:lang w:val="sr-Latn-BA"/>
        </w:rPr>
        <w:t>Promjene fer vrijednosti se evidentiraju na kontima ispravke vrijednosti i nerealizovanih dobitaka, odnosno gubitaka za hartije od vrijednosti koje su klasifikovane po fer vrijednosti kroz bilans uspjeha, odnosno ispravke vrijednosti i revalorizacionih rezervi za hartije klasifikovane kao raspoložive za prodaju.</w:t>
      </w:r>
    </w:p>
    <w:p w14:paraId="5EF73860" w14:textId="77777777" w:rsidR="00C165F8" w:rsidRPr="001707CF" w:rsidRDefault="00C165F8" w:rsidP="00C165F8">
      <w:pPr>
        <w:spacing w:after="120"/>
        <w:jc w:val="both"/>
        <w:rPr>
          <w:rFonts w:ascii="Tahoma" w:hAnsi="Tahoma" w:cs="Tahoma"/>
          <w:b/>
          <w:sz w:val="23"/>
          <w:szCs w:val="23"/>
          <w:lang w:val="sr-Latn-BA"/>
        </w:rPr>
      </w:pPr>
      <w:r w:rsidRPr="001707CF">
        <w:rPr>
          <w:rFonts w:ascii="Tahoma" w:hAnsi="Tahoma" w:cs="Tahoma"/>
          <w:b/>
          <w:sz w:val="23"/>
          <w:szCs w:val="23"/>
          <w:lang w:val="sr-Latn-BA"/>
        </w:rPr>
        <w:lastRenderedPageBreak/>
        <w:t>Gotovina i gotovinski ekvivalenti</w:t>
      </w:r>
    </w:p>
    <w:p w14:paraId="4D3AB24F" w14:textId="77777777" w:rsidR="00C165F8" w:rsidRPr="001707CF" w:rsidRDefault="00C165F8" w:rsidP="00C165F8">
      <w:pPr>
        <w:spacing w:after="120"/>
        <w:jc w:val="both"/>
        <w:rPr>
          <w:rFonts w:ascii="Tahoma" w:hAnsi="Tahoma" w:cs="Tahoma"/>
          <w:sz w:val="23"/>
          <w:szCs w:val="23"/>
          <w:lang w:val="sr-Latn-BA"/>
        </w:rPr>
      </w:pPr>
      <w:r w:rsidRPr="001707CF">
        <w:rPr>
          <w:rFonts w:ascii="Tahoma" w:hAnsi="Tahoma" w:cs="Tahoma"/>
          <w:sz w:val="23"/>
          <w:szCs w:val="23"/>
          <w:lang w:val="sr-Latn-BA"/>
        </w:rPr>
        <w:t>Gotovina i gotovinski ekvivalenti sastoje se od sredstava u domaćoj i stranoj valuti na računima kod domaćih poslovnih banaka, kao i neposredno unovčive hartije od vrijednosti koje prati beznačajan rizik smanjenja vrijednosti.</w:t>
      </w:r>
    </w:p>
    <w:p w14:paraId="5FD76F11" w14:textId="77777777" w:rsidR="00C165F8" w:rsidRPr="001707CF" w:rsidRDefault="00C165F8" w:rsidP="00C165F8">
      <w:pPr>
        <w:spacing w:after="120"/>
        <w:jc w:val="both"/>
        <w:rPr>
          <w:rFonts w:ascii="Tahoma" w:hAnsi="Tahoma" w:cs="Tahoma"/>
          <w:b/>
          <w:sz w:val="23"/>
          <w:szCs w:val="23"/>
          <w:lang w:val="sr-Latn-BA"/>
        </w:rPr>
      </w:pPr>
      <w:r w:rsidRPr="001707CF">
        <w:rPr>
          <w:rFonts w:ascii="Tahoma" w:hAnsi="Tahoma" w:cs="Tahoma"/>
          <w:b/>
          <w:sz w:val="23"/>
          <w:szCs w:val="23"/>
          <w:lang w:val="sr-Latn-BA"/>
        </w:rPr>
        <w:t>Ulaganja Fonda</w:t>
      </w:r>
    </w:p>
    <w:p w14:paraId="66CCCE5E" w14:textId="77777777" w:rsidR="00C165F8" w:rsidRPr="001707CF" w:rsidRDefault="00C165F8" w:rsidP="00C165F8">
      <w:pPr>
        <w:spacing w:after="120"/>
        <w:jc w:val="both"/>
        <w:rPr>
          <w:rFonts w:ascii="Tahoma" w:hAnsi="Tahoma" w:cs="Tahoma"/>
          <w:sz w:val="23"/>
          <w:szCs w:val="23"/>
          <w:lang w:val="sr-Latn-BA"/>
        </w:rPr>
      </w:pPr>
      <w:r w:rsidRPr="001707CF">
        <w:rPr>
          <w:rFonts w:ascii="Tahoma" w:hAnsi="Tahoma" w:cs="Tahoma"/>
          <w:iCs/>
          <w:sz w:val="23"/>
          <w:szCs w:val="23"/>
          <w:lang w:val="sr-Latn-BA"/>
        </w:rPr>
        <w:t>Klasif</w:t>
      </w:r>
      <w:r w:rsidRPr="001707CF">
        <w:rPr>
          <w:rFonts w:ascii="Tahoma" w:hAnsi="Tahoma" w:cs="Tahoma"/>
          <w:sz w:val="23"/>
          <w:szCs w:val="23"/>
          <w:lang w:val="sr-Latn-BA"/>
        </w:rPr>
        <w:t xml:space="preserve">ikacija i vrednovanje ulaganja Fonda u dozvoljene oblike imovine vrši se u skladu sa važećim zakonskim propisima i MRS/MSFI. </w:t>
      </w:r>
    </w:p>
    <w:p w14:paraId="5A15DB44" w14:textId="77777777" w:rsidR="00C165F8" w:rsidRPr="001707CF" w:rsidRDefault="00C165F8" w:rsidP="00C165F8">
      <w:pPr>
        <w:spacing w:after="120"/>
        <w:jc w:val="both"/>
        <w:rPr>
          <w:rFonts w:ascii="Tahoma" w:hAnsi="Tahoma" w:cs="Tahoma"/>
          <w:sz w:val="23"/>
          <w:szCs w:val="23"/>
          <w:lang w:val="sr-Latn-BA"/>
        </w:rPr>
      </w:pPr>
      <w:r w:rsidRPr="001707CF">
        <w:rPr>
          <w:rFonts w:ascii="Tahoma" w:hAnsi="Tahoma" w:cs="Tahoma"/>
          <w:sz w:val="23"/>
          <w:szCs w:val="23"/>
          <w:lang w:val="sr-Latn-BA"/>
        </w:rPr>
        <w:t>Odluku o klasifikaciji finansijskih sredstava u zavisnosti od vrijednosti investicije donosi organizaciona jedinica Društva – Front Office ili Uprava Društva.</w:t>
      </w:r>
    </w:p>
    <w:p w14:paraId="1389A7DB" w14:textId="77777777" w:rsidR="00C165F8" w:rsidRPr="001707CF" w:rsidRDefault="00C165F8" w:rsidP="00C165F8">
      <w:pPr>
        <w:spacing w:after="120"/>
        <w:jc w:val="both"/>
        <w:rPr>
          <w:rFonts w:ascii="Tahoma" w:hAnsi="Tahoma" w:cs="Tahoma"/>
          <w:iCs/>
          <w:sz w:val="23"/>
          <w:szCs w:val="23"/>
          <w:lang w:val="sr-Latn-BA"/>
        </w:rPr>
      </w:pPr>
      <w:r w:rsidRPr="001707CF">
        <w:rPr>
          <w:rFonts w:ascii="Tahoma" w:hAnsi="Tahoma" w:cs="Tahoma"/>
          <w:iCs/>
          <w:sz w:val="23"/>
          <w:szCs w:val="23"/>
          <w:lang w:val="sr-Latn-BA"/>
        </w:rPr>
        <w:t>Ulaganja Fonda mogu biti klasifikovana kao:</w:t>
      </w:r>
    </w:p>
    <w:p w14:paraId="22F94278" w14:textId="77777777" w:rsidR="00C165F8" w:rsidRPr="001707CF" w:rsidRDefault="00C165F8" w:rsidP="00C165F8">
      <w:pPr>
        <w:pStyle w:val="ListParagraph"/>
        <w:numPr>
          <w:ilvl w:val="0"/>
          <w:numId w:val="25"/>
        </w:numPr>
        <w:spacing w:after="120"/>
        <w:jc w:val="both"/>
        <w:rPr>
          <w:rFonts w:ascii="Tahoma" w:hAnsi="Tahoma" w:cs="Tahoma"/>
          <w:iCs/>
          <w:sz w:val="23"/>
          <w:szCs w:val="23"/>
          <w:lang w:val="sr-Latn-BA"/>
        </w:rPr>
      </w:pPr>
      <w:r w:rsidRPr="001707CF">
        <w:rPr>
          <w:rFonts w:ascii="Tahoma" w:hAnsi="Tahoma" w:cs="Tahoma"/>
          <w:iCs/>
          <w:sz w:val="23"/>
          <w:szCs w:val="23"/>
          <w:lang w:val="sr-Latn-BA"/>
        </w:rPr>
        <w:t>Finansijska sredstva koja se odmjeravaju po fer vrijednosti kroz bilans uspjeha,</w:t>
      </w:r>
    </w:p>
    <w:p w14:paraId="4F77BB20" w14:textId="77777777" w:rsidR="00C165F8" w:rsidRPr="001707CF" w:rsidRDefault="00C165F8" w:rsidP="00C165F8">
      <w:pPr>
        <w:pStyle w:val="ListParagraph"/>
        <w:numPr>
          <w:ilvl w:val="0"/>
          <w:numId w:val="25"/>
        </w:numPr>
        <w:spacing w:after="120"/>
        <w:jc w:val="both"/>
        <w:rPr>
          <w:rFonts w:ascii="Tahoma" w:hAnsi="Tahoma" w:cs="Tahoma"/>
          <w:iCs/>
          <w:sz w:val="23"/>
          <w:szCs w:val="23"/>
          <w:lang w:val="sr-Latn-BA"/>
        </w:rPr>
      </w:pPr>
      <w:r w:rsidRPr="001707CF">
        <w:rPr>
          <w:rFonts w:ascii="Tahoma" w:hAnsi="Tahoma" w:cs="Tahoma"/>
          <w:iCs/>
          <w:sz w:val="23"/>
          <w:szCs w:val="23"/>
          <w:lang w:val="sr-Latn-BA"/>
        </w:rPr>
        <w:t xml:space="preserve">Finansijska sredstva koja se odmjeravaju po fer vrijednosti kroz ostali ukupan rezultat ili  </w:t>
      </w:r>
    </w:p>
    <w:p w14:paraId="3F52AA0B" w14:textId="77777777" w:rsidR="00C165F8" w:rsidRPr="0057768A" w:rsidRDefault="00C165F8" w:rsidP="00C165F8">
      <w:pPr>
        <w:pStyle w:val="ListParagraph"/>
        <w:numPr>
          <w:ilvl w:val="0"/>
          <w:numId w:val="25"/>
        </w:numPr>
        <w:spacing w:after="120"/>
        <w:jc w:val="both"/>
        <w:rPr>
          <w:rFonts w:ascii="Tahoma" w:hAnsi="Tahoma" w:cs="Tahoma"/>
          <w:iCs/>
          <w:sz w:val="23"/>
          <w:szCs w:val="23"/>
          <w:lang w:val="sr-Latn-BA"/>
        </w:rPr>
      </w:pPr>
      <w:r w:rsidRPr="0057768A">
        <w:rPr>
          <w:rFonts w:ascii="Tahoma" w:hAnsi="Tahoma" w:cs="Tahoma"/>
          <w:iCs/>
          <w:sz w:val="23"/>
          <w:szCs w:val="23"/>
          <w:lang w:val="sr-Latn-BA"/>
        </w:rPr>
        <w:t>Finansijska sredstva koja se odmjeravaju po amortizovanoj vrijednosti.</w:t>
      </w:r>
    </w:p>
    <w:p w14:paraId="615245A8" w14:textId="77777777" w:rsidR="00C165F8" w:rsidRPr="0057768A" w:rsidRDefault="00C165F8" w:rsidP="00C165F8">
      <w:pPr>
        <w:spacing w:after="120"/>
        <w:jc w:val="both"/>
        <w:rPr>
          <w:rFonts w:ascii="Tahoma" w:hAnsi="Tahoma" w:cs="Tahoma"/>
          <w:iCs/>
          <w:sz w:val="23"/>
          <w:szCs w:val="23"/>
          <w:lang w:val="sr-Latn-BA"/>
        </w:rPr>
      </w:pPr>
      <w:r w:rsidRPr="0057768A">
        <w:rPr>
          <w:rFonts w:ascii="Tahoma" w:hAnsi="Tahoma" w:cs="Tahoma"/>
          <w:iCs/>
          <w:sz w:val="23"/>
          <w:szCs w:val="23"/>
          <w:lang w:val="sr-Latn-BA"/>
        </w:rPr>
        <w:t>Finansijska sredstva mogu da se odmjeravaju po amortizovanoj vrijednosti ako su ispunjena oba navedena uslova:</w:t>
      </w:r>
    </w:p>
    <w:p w14:paraId="2C4719D2" w14:textId="77777777" w:rsidR="00C165F8" w:rsidRPr="0057768A" w:rsidRDefault="00C165F8" w:rsidP="00C165F8">
      <w:pPr>
        <w:pStyle w:val="ListParagraph"/>
        <w:numPr>
          <w:ilvl w:val="0"/>
          <w:numId w:val="26"/>
        </w:numPr>
        <w:spacing w:after="120"/>
        <w:jc w:val="both"/>
        <w:rPr>
          <w:rFonts w:ascii="Tahoma" w:hAnsi="Tahoma" w:cs="Tahoma"/>
          <w:iCs/>
          <w:sz w:val="23"/>
          <w:szCs w:val="23"/>
          <w:lang w:val="sr-Latn-BA"/>
        </w:rPr>
      </w:pPr>
      <w:r w:rsidRPr="0057768A">
        <w:rPr>
          <w:rFonts w:ascii="Tahoma" w:hAnsi="Tahoma" w:cs="Tahoma"/>
          <w:iCs/>
          <w:sz w:val="23"/>
          <w:szCs w:val="23"/>
          <w:lang w:val="sr-Latn-BA"/>
        </w:rPr>
        <w:t>Finansijsko sredstvo se drži u okviru poslovnog modela čiji je cilj držanje finansijskog sredstva radi naplate ugovornih tokova gotovine i</w:t>
      </w:r>
    </w:p>
    <w:p w14:paraId="3EB65452" w14:textId="77777777" w:rsidR="00C165F8" w:rsidRPr="0057768A" w:rsidRDefault="00C165F8" w:rsidP="00C165F8">
      <w:pPr>
        <w:pStyle w:val="ListParagraph"/>
        <w:numPr>
          <w:ilvl w:val="0"/>
          <w:numId w:val="26"/>
        </w:numPr>
        <w:spacing w:after="120"/>
        <w:jc w:val="both"/>
        <w:rPr>
          <w:rFonts w:ascii="Tahoma" w:hAnsi="Tahoma" w:cs="Tahoma"/>
          <w:iCs/>
          <w:sz w:val="23"/>
          <w:szCs w:val="23"/>
          <w:lang w:val="sr-Latn-BA"/>
        </w:rPr>
      </w:pPr>
      <w:r w:rsidRPr="0057768A">
        <w:rPr>
          <w:rFonts w:ascii="Tahoma" w:hAnsi="Tahoma" w:cs="Tahoma"/>
          <w:iCs/>
          <w:sz w:val="23"/>
          <w:szCs w:val="23"/>
          <w:lang w:val="sr-Latn-BA"/>
        </w:rPr>
        <w:t>Uslovi ugovora finansijskog sredstva na naznačene datume uzrokuju tokove gotovine koji su isključivo otplate glavnice i kamate na neizmireni iznos glavnice.</w:t>
      </w:r>
    </w:p>
    <w:p w14:paraId="73CDAF1E" w14:textId="77777777" w:rsidR="00C165F8" w:rsidRPr="0057768A" w:rsidRDefault="00C165F8" w:rsidP="00C165F8">
      <w:pPr>
        <w:spacing w:after="120"/>
        <w:jc w:val="both"/>
        <w:rPr>
          <w:rFonts w:ascii="Tahoma" w:hAnsi="Tahoma" w:cs="Tahoma"/>
          <w:iCs/>
          <w:sz w:val="23"/>
          <w:szCs w:val="23"/>
          <w:lang w:val="sr-Latn-BA"/>
        </w:rPr>
      </w:pPr>
      <w:r w:rsidRPr="0057768A">
        <w:rPr>
          <w:rFonts w:ascii="Tahoma" w:hAnsi="Tahoma" w:cs="Tahoma"/>
          <w:iCs/>
          <w:sz w:val="23"/>
          <w:szCs w:val="23"/>
          <w:lang w:val="sr-Latn-BA"/>
        </w:rPr>
        <w:t>Finansijsko sredstvo se odmjerava po fer vrijednosti kroz ostali ukupan rezultat ako su ispunjena oba sljedeća uslova:</w:t>
      </w:r>
    </w:p>
    <w:p w14:paraId="34C4103B" w14:textId="77777777" w:rsidR="00C165F8" w:rsidRPr="0057768A" w:rsidRDefault="00C165F8" w:rsidP="00C165F8">
      <w:pPr>
        <w:pStyle w:val="ListParagraph"/>
        <w:numPr>
          <w:ilvl w:val="0"/>
          <w:numId w:val="26"/>
        </w:numPr>
        <w:spacing w:after="120"/>
        <w:jc w:val="both"/>
        <w:rPr>
          <w:rFonts w:ascii="Tahoma" w:hAnsi="Tahoma" w:cs="Tahoma"/>
          <w:iCs/>
          <w:sz w:val="23"/>
          <w:szCs w:val="23"/>
          <w:lang w:val="sr-Latn-BA"/>
        </w:rPr>
      </w:pPr>
      <w:r w:rsidRPr="0057768A">
        <w:rPr>
          <w:rFonts w:ascii="Tahoma" w:hAnsi="Tahoma" w:cs="Tahoma"/>
          <w:iCs/>
          <w:sz w:val="23"/>
          <w:szCs w:val="23"/>
          <w:lang w:val="sr-Latn-BA"/>
        </w:rPr>
        <w:t>Finansijsko sredstvo se drži u okviru poslovnog modela čiji cilj se postiže naplatom ugovornih tokova gotovine i prodajom finansijskih sredstava i</w:t>
      </w:r>
    </w:p>
    <w:p w14:paraId="60AF6480" w14:textId="77777777" w:rsidR="00C165F8" w:rsidRPr="0057768A" w:rsidRDefault="00C165F8" w:rsidP="00C165F8">
      <w:pPr>
        <w:pStyle w:val="ListParagraph"/>
        <w:numPr>
          <w:ilvl w:val="0"/>
          <w:numId w:val="26"/>
        </w:numPr>
        <w:spacing w:after="120"/>
        <w:jc w:val="both"/>
        <w:rPr>
          <w:rFonts w:ascii="Tahoma" w:hAnsi="Tahoma" w:cs="Tahoma"/>
          <w:iCs/>
          <w:sz w:val="23"/>
          <w:szCs w:val="23"/>
          <w:lang w:val="sr-Latn-BA"/>
        </w:rPr>
      </w:pPr>
      <w:r w:rsidRPr="0057768A">
        <w:rPr>
          <w:rFonts w:ascii="Tahoma" w:hAnsi="Tahoma" w:cs="Tahoma"/>
          <w:iCs/>
          <w:sz w:val="23"/>
          <w:szCs w:val="23"/>
          <w:lang w:val="sr-Latn-BA"/>
        </w:rPr>
        <w:t>Uslovi ugovora finansijskog sredstva na naznačene datume uzrokuju tokove gotovine koji su isključivo otplate glavnice i kamate na neizmireni iznos glavnice.</w:t>
      </w:r>
    </w:p>
    <w:p w14:paraId="43AF5DC3" w14:textId="77777777" w:rsidR="00C165F8" w:rsidRPr="0057768A" w:rsidRDefault="00C165F8" w:rsidP="00C165F8">
      <w:pPr>
        <w:spacing w:after="120"/>
        <w:jc w:val="both"/>
        <w:rPr>
          <w:rFonts w:ascii="Tahoma" w:hAnsi="Tahoma" w:cs="Tahoma"/>
          <w:iCs/>
          <w:sz w:val="23"/>
          <w:szCs w:val="23"/>
          <w:lang w:val="sr-Latn-BA"/>
        </w:rPr>
      </w:pPr>
      <w:r w:rsidRPr="0057768A">
        <w:rPr>
          <w:rFonts w:ascii="Tahoma" w:hAnsi="Tahoma" w:cs="Tahoma"/>
          <w:iCs/>
          <w:sz w:val="23"/>
          <w:szCs w:val="23"/>
          <w:lang w:val="sr-Latn-BA"/>
        </w:rPr>
        <w:t>Finansijsko sredstvo se odmjerava po fer vrijednosti kroz bilans uspjeha osim ukoliko se ne odmjerava po amortizovanoj vrijednosti ili po fer vrijednosti kroz ostali ukupan rezultat.</w:t>
      </w:r>
    </w:p>
    <w:p w14:paraId="39ACE4D2" w14:textId="77777777" w:rsidR="00C165F8" w:rsidRPr="0057768A" w:rsidRDefault="00C165F8" w:rsidP="00C165F8">
      <w:pPr>
        <w:spacing w:after="120"/>
        <w:jc w:val="both"/>
        <w:rPr>
          <w:rFonts w:ascii="Tahoma" w:hAnsi="Tahoma" w:cs="Tahoma"/>
          <w:bCs/>
          <w:color w:val="FF0000"/>
          <w:sz w:val="23"/>
          <w:szCs w:val="23"/>
          <w:lang w:val="sr-Latn-BA"/>
        </w:rPr>
      </w:pPr>
      <w:bookmarkStart w:id="0" w:name="_Hlk101267635"/>
      <w:r w:rsidRPr="0057768A">
        <w:rPr>
          <w:rFonts w:ascii="Tahoma" w:hAnsi="Tahoma" w:cs="Tahoma"/>
          <w:iCs/>
          <w:sz w:val="23"/>
          <w:szCs w:val="23"/>
          <w:lang w:val="sr-Latn-BA"/>
        </w:rPr>
        <w:t>Sva ulaganja Fonda na dan 31.12.2024. godine su klasifikovana kao finansijska sredstva koja se odmjeravanju po fer vrijednosti kroz ostali sveobuhvatni rezult</w:t>
      </w:r>
      <w:bookmarkEnd w:id="0"/>
      <w:r w:rsidRPr="0057768A">
        <w:rPr>
          <w:rFonts w:ascii="Tahoma" w:hAnsi="Tahoma" w:cs="Tahoma"/>
          <w:iCs/>
          <w:sz w:val="23"/>
          <w:szCs w:val="23"/>
          <w:lang w:val="sr-Latn-BA"/>
        </w:rPr>
        <w:t>at.</w:t>
      </w:r>
    </w:p>
    <w:p w14:paraId="38D3241B" w14:textId="77777777" w:rsidR="00C165F8" w:rsidRPr="0057768A" w:rsidRDefault="00C165F8" w:rsidP="00C165F8">
      <w:pPr>
        <w:spacing w:after="120"/>
        <w:jc w:val="both"/>
        <w:rPr>
          <w:rFonts w:ascii="Tahoma" w:hAnsi="Tahoma" w:cs="Tahoma"/>
          <w:i/>
          <w:sz w:val="23"/>
          <w:szCs w:val="23"/>
          <w:lang w:val="sr-Latn-BA"/>
        </w:rPr>
      </w:pPr>
      <w:r w:rsidRPr="0057768A">
        <w:rPr>
          <w:rFonts w:ascii="Tahoma" w:hAnsi="Tahoma" w:cs="Tahoma"/>
          <w:i/>
          <w:sz w:val="23"/>
          <w:szCs w:val="23"/>
          <w:lang w:val="sr-Latn-BA"/>
        </w:rPr>
        <w:t>Depoziti i plasmani</w:t>
      </w:r>
    </w:p>
    <w:p w14:paraId="171CF528" w14:textId="77777777" w:rsidR="00C165F8" w:rsidRPr="0057768A" w:rsidRDefault="00C165F8" w:rsidP="00C165F8">
      <w:pPr>
        <w:spacing w:after="120"/>
        <w:jc w:val="both"/>
        <w:rPr>
          <w:rFonts w:ascii="Tahoma" w:hAnsi="Tahoma" w:cs="Tahoma"/>
          <w:iCs/>
          <w:sz w:val="23"/>
          <w:szCs w:val="23"/>
          <w:lang w:val="sr-Latn-BA"/>
        </w:rPr>
      </w:pPr>
      <w:r w:rsidRPr="0057768A">
        <w:rPr>
          <w:rFonts w:ascii="Tahoma" w:hAnsi="Tahoma" w:cs="Tahoma"/>
          <w:iCs/>
          <w:sz w:val="23"/>
          <w:szCs w:val="23"/>
          <w:lang w:val="sr-Latn-BA"/>
        </w:rPr>
        <w:t>Fond može ulagati u depozite i plasmane kod domaćih banaka, kao i plasmane po osnovu obrnutih repo poslova, nederivativna finansijska sredstva sa fiksnim ili utvrdivim plaćanjima kojima se ne trguje na aktivnom tržištu i drugo.</w:t>
      </w:r>
    </w:p>
    <w:p w14:paraId="4CF5AEBC" w14:textId="77777777" w:rsidR="00C165F8" w:rsidRPr="0057768A" w:rsidRDefault="00C165F8" w:rsidP="00C165F8">
      <w:pPr>
        <w:spacing w:after="120"/>
        <w:jc w:val="both"/>
        <w:rPr>
          <w:rFonts w:ascii="Tahoma" w:hAnsi="Tahoma" w:cs="Tahoma"/>
          <w:iCs/>
          <w:sz w:val="23"/>
          <w:szCs w:val="23"/>
          <w:lang w:val="sr-Latn-BA"/>
        </w:rPr>
      </w:pPr>
      <w:r w:rsidRPr="0057768A">
        <w:rPr>
          <w:rFonts w:ascii="Tahoma" w:hAnsi="Tahoma" w:cs="Tahoma"/>
          <w:iCs/>
          <w:sz w:val="23"/>
          <w:szCs w:val="23"/>
          <w:lang w:val="sr-Latn-BA"/>
        </w:rPr>
        <w:t>Imovina koja se stiče u stranoj valuti, prilikom početnog priznavanja preračunava se u KM po srednjem kursu Centralne banke BiH važećem na dan transakcije.</w:t>
      </w:r>
    </w:p>
    <w:p w14:paraId="083D4CC6" w14:textId="77777777" w:rsidR="00C165F8" w:rsidRPr="0057768A" w:rsidRDefault="00C165F8" w:rsidP="00C165F8">
      <w:pPr>
        <w:spacing w:after="120"/>
        <w:jc w:val="both"/>
        <w:rPr>
          <w:rFonts w:ascii="Tahoma" w:hAnsi="Tahoma" w:cs="Tahoma"/>
          <w:b/>
          <w:sz w:val="23"/>
          <w:szCs w:val="23"/>
          <w:lang w:val="sr-Latn-BA"/>
        </w:rPr>
      </w:pPr>
      <w:r w:rsidRPr="0057768A">
        <w:rPr>
          <w:rFonts w:ascii="Tahoma" w:hAnsi="Tahoma" w:cs="Tahoma"/>
          <w:b/>
          <w:sz w:val="23"/>
          <w:szCs w:val="23"/>
          <w:lang w:val="sr-Latn-BA"/>
        </w:rPr>
        <w:t>Potraživanja</w:t>
      </w:r>
    </w:p>
    <w:p w14:paraId="32B6FFAD" w14:textId="77777777" w:rsidR="00C165F8" w:rsidRPr="0057768A" w:rsidRDefault="00C165F8" w:rsidP="00C165F8">
      <w:pPr>
        <w:spacing w:after="120"/>
        <w:jc w:val="both"/>
        <w:rPr>
          <w:rFonts w:ascii="Tahoma" w:hAnsi="Tahoma" w:cs="Tahoma"/>
          <w:sz w:val="23"/>
          <w:szCs w:val="23"/>
          <w:lang w:val="sr-Latn-BA"/>
        </w:rPr>
      </w:pPr>
      <w:r w:rsidRPr="0057768A">
        <w:rPr>
          <w:rFonts w:ascii="Tahoma" w:hAnsi="Tahoma" w:cs="Tahoma"/>
          <w:iCs/>
          <w:sz w:val="23"/>
          <w:szCs w:val="23"/>
          <w:lang w:val="sr-Latn-BA"/>
        </w:rPr>
        <w:t>Potraživanja Fonda obuhvataju potraživanja po osnovu</w:t>
      </w:r>
      <w:r w:rsidRPr="0057768A">
        <w:rPr>
          <w:rFonts w:ascii="Tahoma" w:hAnsi="Tahoma" w:cs="Tahoma"/>
          <w:sz w:val="23"/>
          <w:szCs w:val="23"/>
          <w:lang w:val="sr-Latn-BA"/>
        </w:rPr>
        <w:t xml:space="preserve"> prodaje hartija od vrijednosti, potrađivanja po osnovu kamata na depozite i dužničke hartije od vrijednosti koje se nalaze u portfelju Fonda, potraživanja po osnovu dividendi, datih avansa i potraživanja od Društva.</w:t>
      </w:r>
    </w:p>
    <w:p w14:paraId="317B6F15" w14:textId="77777777" w:rsidR="00C165F8" w:rsidRPr="0057768A" w:rsidRDefault="00C165F8" w:rsidP="00C165F8">
      <w:pPr>
        <w:spacing w:after="120"/>
        <w:jc w:val="both"/>
        <w:rPr>
          <w:rFonts w:ascii="Tahoma" w:hAnsi="Tahoma" w:cs="Tahoma"/>
          <w:b/>
          <w:sz w:val="23"/>
          <w:szCs w:val="23"/>
          <w:lang w:val="sr-Latn-BA"/>
        </w:rPr>
      </w:pPr>
    </w:p>
    <w:p w14:paraId="67614D4C" w14:textId="77777777" w:rsidR="00C165F8" w:rsidRPr="0057768A" w:rsidRDefault="00C165F8" w:rsidP="00C165F8">
      <w:pPr>
        <w:spacing w:after="120"/>
        <w:jc w:val="both"/>
        <w:rPr>
          <w:rFonts w:ascii="Tahoma" w:hAnsi="Tahoma" w:cs="Tahoma"/>
          <w:b/>
          <w:sz w:val="23"/>
          <w:szCs w:val="23"/>
          <w:lang w:val="sr-Latn-BA"/>
        </w:rPr>
      </w:pPr>
    </w:p>
    <w:p w14:paraId="1ADF4031" w14:textId="77777777" w:rsidR="00C165F8" w:rsidRPr="0057768A" w:rsidRDefault="00C165F8" w:rsidP="00C165F8">
      <w:pPr>
        <w:spacing w:after="120"/>
        <w:jc w:val="both"/>
        <w:rPr>
          <w:rFonts w:ascii="Tahoma" w:hAnsi="Tahoma" w:cs="Tahoma"/>
          <w:b/>
          <w:sz w:val="23"/>
          <w:szCs w:val="23"/>
          <w:lang w:val="sr-Latn-BA"/>
        </w:rPr>
      </w:pPr>
      <w:r w:rsidRPr="0057768A">
        <w:rPr>
          <w:rFonts w:ascii="Tahoma" w:hAnsi="Tahoma" w:cs="Tahoma"/>
          <w:b/>
          <w:sz w:val="23"/>
          <w:szCs w:val="23"/>
          <w:lang w:val="sr-Latn-BA"/>
        </w:rPr>
        <w:t>Obaveze</w:t>
      </w:r>
    </w:p>
    <w:p w14:paraId="01AE5AA4" w14:textId="77777777" w:rsidR="00C165F8" w:rsidRPr="0057768A" w:rsidRDefault="00C165F8" w:rsidP="00C165F8">
      <w:pPr>
        <w:spacing w:after="120"/>
        <w:jc w:val="both"/>
        <w:rPr>
          <w:rFonts w:ascii="Tahoma" w:hAnsi="Tahoma" w:cs="Tahoma"/>
          <w:iCs/>
          <w:sz w:val="23"/>
          <w:szCs w:val="23"/>
          <w:lang w:val="sr-Latn-BA"/>
        </w:rPr>
      </w:pPr>
      <w:r w:rsidRPr="0057768A">
        <w:rPr>
          <w:rFonts w:ascii="Tahoma" w:hAnsi="Tahoma" w:cs="Tahoma"/>
          <w:iCs/>
          <w:sz w:val="23"/>
          <w:szCs w:val="23"/>
          <w:lang w:val="sr-Latn-BA"/>
        </w:rPr>
        <w:t xml:space="preserve">Dugoročne i kratkoročne obaveze proistekle iz finansijskih i poslovnih transakcija odmjeravaju se po amortizovanoj vrijednosti. </w:t>
      </w:r>
    </w:p>
    <w:p w14:paraId="18D7F9F5" w14:textId="77777777" w:rsidR="00C165F8" w:rsidRPr="0057768A" w:rsidRDefault="00C165F8" w:rsidP="00C165F8">
      <w:pPr>
        <w:spacing w:after="120"/>
        <w:jc w:val="both"/>
        <w:rPr>
          <w:rFonts w:ascii="Tahoma" w:hAnsi="Tahoma" w:cs="Tahoma"/>
          <w:iCs/>
          <w:sz w:val="23"/>
          <w:szCs w:val="23"/>
          <w:lang w:val="sr-Latn-BA"/>
        </w:rPr>
      </w:pPr>
      <w:r w:rsidRPr="0057768A">
        <w:rPr>
          <w:rFonts w:ascii="Tahoma" w:hAnsi="Tahoma" w:cs="Tahoma"/>
          <w:iCs/>
          <w:sz w:val="23"/>
          <w:szCs w:val="23"/>
          <w:lang w:val="sr-Latn-BA"/>
        </w:rPr>
        <w:t>Obaveze u stranoj valuti procjenjuju se po srednjem kursu strane valute na dan bilansa.</w:t>
      </w:r>
    </w:p>
    <w:p w14:paraId="309CDE36" w14:textId="77777777" w:rsidR="00C165F8" w:rsidRPr="0057768A" w:rsidRDefault="00C165F8" w:rsidP="00C165F8">
      <w:pPr>
        <w:spacing w:after="120"/>
        <w:jc w:val="both"/>
        <w:rPr>
          <w:rFonts w:ascii="Tahoma" w:hAnsi="Tahoma" w:cs="Tahoma"/>
          <w:b/>
          <w:sz w:val="23"/>
          <w:szCs w:val="23"/>
          <w:lang w:val="sr-Latn-BA"/>
        </w:rPr>
      </w:pPr>
      <w:r w:rsidRPr="0057768A">
        <w:rPr>
          <w:rFonts w:ascii="Tahoma" w:hAnsi="Tahoma" w:cs="Tahoma"/>
          <w:b/>
          <w:sz w:val="23"/>
          <w:szCs w:val="23"/>
          <w:lang w:val="sr-Latn-BA"/>
        </w:rPr>
        <w:t>Vrednovanje i procjena vrijednosti ulaganja</w:t>
      </w:r>
    </w:p>
    <w:p w14:paraId="0D057C8F" w14:textId="77777777" w:rsidR="00C165F8" w:rsidRPr="0057768A" w:rsidRDefault="00C165F8" w:rsidP="00C165F8">
      <w:pPr>
        <w:spacing w:after="120"/>
        <w:jc w:val="both"/>
        <w:rPr>
          <w:rFonts w:ascii="Tahoma" w:hAnsi="Tahoma" w:cs="Tahoma"/>
          <w:iCs/>
          <w:sz w:val="23"/>
          <w:szCs w:val="23"/>
          <w:lang w:val="sr-Latn-BA"/>
        </w:rPr>
      </w:pPr>
      <w:r w:rsidRPr="0057768A">
        <w:rPr>
          <w:rFonts w:ascii="Tahoma" w:hAnsi="Tahoma" w:cs="Tahoma"/>
          <w:iCs/>
          <w:sz w:val="23"/>
          <w:szCs w:val="23"/>
          <w:lang w:val="sr-Latn-BA"/>
        </w:rPr>
        <w:t xml:space="preserve">Procjena vrijednosti ulaganja vrši se pojedinačno za svaku hartiju od vrijednosti u skladu sa MRS i MSFI. </w:t>
      </w:r>
    </w:p>
    <w:p w14:paraId="2688439B" w14:textId="77777777" w:rsidR="00C165F8" w:rsidRPr="0057768A" w:rsidRDefault="00C165F8" w:rsidP="00C165F8">
      <w:pPr>
        <w:spacing w:after="120"/>
        <w:jc w:val="both"/>
        <w:rPr>
          <w:rFonts w:ascii="Tahoma" w:hAnsi="Tahoma" w:cs="Tahoma"/>
          <w:iCs/>
          <w:sz w:val="23"/>
          <w:szCs w:val="23"/>
          <w:lang w:val="sr-Latn-BA"/>
        </w:rPr>
      </w:pPr>
      <w:r w:rsidRPr="0057768A">
        <w:rPr>
          <w:rFonts w:ascii="Tahoma" w:hAnsi="Tahoma" w:cs="Tahoma"/>
          <w:iCs/>
          <w:sz w:val="23"/>
          <w:szCs w:val="23"/>
          <w:lang w:val="sr-Latn-BA"/>
        </w:rPr>
        <w:t>Ukoliko je zakonskim i podzakonskim aktima, koje donosi regulatorni organ, propisano drugačije, primjenjivaće se ti propisi koji su obvezujući.</w:t>
      </w:r>
    </w:p>
    <w:p w14:paraId="549659FD" w14:textId="77777777" w:rsidR="00C165F8" w:rsidRPr="0057768A" w:rsidRDefault="00C165F8" w:rsidP="00C165F8">
      <w:pPr>
        <w:spacing w:after="120"/>
        <w:jc w:val="both"/>
        <w:rPr>
          <w:rFonts w:ascii="Tahoma" w:hAnsi="Tahoma" w:cs="Tahoma"/>
          <w:iCs/>
          <w:sz w:val="23"/>
          <w:szCs w:val="23"/>
          <w:lang w:val="sr-Latn-BA"/>
        </w:rPr>
      </w:pPr>
      <w:r w:rsidRPr="0057768A">
        <w:rPr>
          <w:rFonts w:ascii="Tahoma" w:hAnsi="Tahoma" w:cs="Tahoma"/>
          <w:iCs/>
          <w:sz w:val="23"/>
          <w:szCs w:val="23"/>
          <w:lang w:val="sr-Latn-BA"/>
        </w:rPr>
        <w:t>Odluku o procjeni finansijskih sredstava donosi Uprava Društva.</w:t>
      </w:r>
    </w:p>
    <w:p w14:paraId="27072018" w14:textId="77777777" w:rsidR="00C165F8" w:rsidRPr="0057768A" w:rsidRDefault="00C165F8" w:rsidP="00C165F8">
      <w:pPr>
        <w:spacing w:after="120"/>
        <w:jc w:val="both"/>
        <w:rPr>
          <w:rFonts w:ascii="Tahoma" w:hAnsi="Tahoma" w:cs="Tahoma"/>
          <w:b/>
          <w:sz w:val="23"/>
          <w:szCs w:val="23"/>
          <w:lang w:val="sr-Latn-BA"/>
        </w:rPr>
      </w:pPr>
      <w:r w:rsidRPr="0057768A">
        <w:rPr>
          <w:rFonts w:ascii="Tahoma" w:hAnsi="Tahoma" w:cs="Tahoma"/>
          <w:b/>
          <w:sz w:val="23"/>
          <w:szCs w:val="23"/>
          <w:lang w:val="sr-Latn-BA"/>
        </w:rPr>
        <w:t>Neto imovina Fonda</w:t>
      </w:r>
    </w:p>
    <w:p w14:paraId="576702BF" w14:textId="77777777" w:rsidR="00C165F8" w:rsidRPr="0057768A" w:rsidRDefault="00C165F8" w:rsidP="00C165F8">
      <w:pPr>
        <w:spacing w:after="120"/>
        <w:jc w:val="both"/>
        <w:rPr>
          <w:rFonts w:ascii="Tahoma" w:hAnsi="Tahoma" w:cs="Tahoma"/>
          <w:iCs/>
          <w:sz w:val="23"/>
          <w:szCs w:val="23"/>
          <w:lang w:val="sr-Latn-BA"/>
        </w:rPr>
      </w:pPr>
      <w:r w:rsidRPr="0057768A">
        <w:rPr>
          <w:rFonts w:ascii="Tahoma" w:hAnsi="Tahoma" w:cs="Tahoma"/>
          <w:iCs/>
          <w:sz w:val="23"/>
          <w:szCs w:val="23"/>
          <w:lang w:val="sr-Latn-BA"/>
        </w:rPr>
        <w:t xml:space="preserve">Neto imovina Fonda dobije se kada se od ukupne imovine oduzmu ukupne obaveze Fonda. </w:t>
      </w:r>
    </w:p>
    <w:p w14:paraId="25E144E9" w14:textId="77777777" w:rsidR="00C165F8" w:rsidRPr="0057768A" w:rsidRDefault="00C165F8" w:rsidP="00C165F8">
      <w:pPr>
        <w:spacing w:after="120"/>
        <w:jc w:val="both"/>
        <w:rPr>
          <w:rFonts w:ascii="Tahoma" w:hAnsi="Tahoma" w:cs="Tahoma"/>
          <w:iCs/>
          <w:sz w:val="23"/>
          <w:szCs w:val="23"/>
          <w:lang w:val="sr-Latn-BA"/>
        </w:rPr>
      </w:pPr>
      <w:r w:rsidRPr="0057768A">
        <w:rPr>
          <w:rFonts w:ascii="Tahoma" w:hAnsi="Tahoma" w:cs="Tahoma"/>
          <w:iCs/>
          <w:sz w:val="23"/>
          <w:szCs w:val="23"/>
          <w:lang w:val="sr-Latn-BA"/>
        </w:rPr>
        <w:t>Vrijednost neto imovine za Fond izračunava se dnevno.</w:t>
      </w:r>
    </w:p>
    <w:p w14:paraId="4E1D6B39" w14:textId="77777777" w:rsidR="00C165F8" w:rsidRPr="0057768A" w:rsidRDefault="00C165F8" w:rsidP="00C165F8">
      <w:pPr>
        <w:spacing w:after="120"/>
        <w:jc w:val="both"/>
        <w:rPr>
          <w:rFonts w:ascii="Tahoma" w:hAnsi="Tahoma" w:cs="Tahoma"/>
          <w:iCs/>
          <w:sz w:val="23"/>
          <w:szCs w:val="23"/>
          <w:lang w:val="sr-Latn-BA"/>
        </w:rPr>
      </w:pPr>
      <w:r w:rsidRPr="0057768A">
        <w:rPr>
          <w:rFonts w:ascii="Tahoma" w:hAnsi="Tahoma" w:cs="Tahoma"/>
          <w:iCs/>
          <w:sz w:val="23"/>
          <w:szCs w:val="23"/>
          <w:lang w:val="sr-Latn-BA"/>
        </w:rPr>
        <w:t>Vrijednost imovine i obaveza, vrijednost neto imovine i neto imovine po akciji Fonda izračunava se u operativnoj jedinici Društva Back Office u čijem sastavu je i računovodstvo Fonda, a kontroliše je i potvrđuje Depozitar.</w:t>
      </w:r>
    </w:p>
    <w:p w14:paraId="59A7359C" w14:textId="77777777" w:rsidR="00C165F8" w:rsidRPr="0057768A" w:rsidRDefault="00C165F8" w:rsidP="00C165F8">
      <w:pPr>
        <w:spacing w:after="120"/>
        <w:jc w:val="both"/>
        <w:rPr>
          <w:rFonts w:ascii="Tahoma" w:hAnsi="Tahoma" w:cs="Tahoma"/>
          <w:b/>
          <w:sz w:val="23"/>
          <w:szCs w:val="23"/>
          <w:lang w:val="sr-Latn-BA"/>
        </w:rPr>
      </w:pPr>
      <w:r w:rsidRPr="0057768A">
        <w:rPr>
          <w:rFonts w:ascii="Tahoma" w:hAnsi="Tahoma" w:cs="Tahoma"/>
          <w:b/>
          <w:sz w:val="23"/>
          <w:szCs w:val="23"/>
          <w:lang w:val="sr-Latn-BA"/>
        </w:rPr>
        <w:t>Porezi</w:t>
      </w:r>
    </w:p>
    <w:p w14:paraId="7EC07B95" w14:textId="77777777" w:rsidR="00C165F8" w:rsidRPr="0057768A" w:rsidRDefault="00C165F8" w:rsidP="00C165F8">
      <w:pPr>
        <w:autoSpaceDE w:val="0"/>
        <w:autoSpaceDN w:val="0"/>
        <w:adjustRightInd w:val="0"/>
        <w:spacing w:after="120"/>
        <w:jc w:val="both"/>
        <w:rPr>
          <w:rFonts w:ascii="Tahoma" w:hAnsi="Tahoma" w:cs="Tahoma"/>
          <w:sz w:val="23"/>
          <w:szCs w:val="23"/>
          <w:lang w:val="sr-Latn-BA"/>
        </w:rPr>
      </w:pPr>
      <w:bookmarkStart w:id="1" w:name="_Hlk100229410"/>
      <w:r w:rsidRPr="0057768A">
        <w:rPr>
          <w:rFonts w:ascii="Tahoma" w:hAnsi="Tahoma" w:cs="Tahoma"/>
          <w:iCs/>
          <w:sz w:val="23"/>
          <w:szCs w:val="23"/>
          <w:lang w:val="sr-Latn-BA"/>
        </w:rPr>
        <w:t xml:space="preserve">Otvoreni investicioni fond nema status pravnog lica, te stoga nema obavezu obračunavanja i plaćanja poreza na dobit u skladu sa relevantnim zakonskim propisima u Republici Srpskoj. </w:t>
      </w:r>
      <w:bookmarkEnd w:id="1"/>
    </w:p>
    <w:p w14:paraId="39520222" w14:textId="77777777" w:rsidR="00C165F8" w:rsidRPr="0057768A" w:rsidRDefault="00C165F8" w:rsidP="00C165F8">
      <w:pPr>
        <w:spacing w:after="120"/>
        <w:jc w:val="both"/>
        <w:rPr>
          <w:rFonts w:ascii="Tahoma" w:hAnsi="Tahoma" w:cs="Tahoma"/>
          <w:sz w:val="23"/>
          <w:szCs w:val="23"/>
          <w:lang w:val="sr-Latn-BA"/>
        </w:rPr>
      </w:pPr>
    </w:p>
    <w:p w14:paraId="1A28A7B3" w14:textId="77777777" w:rsidR="00C165F8" w:rsidRPr="0057768A" w:rsidRDefault="00C165F8" w:rsidP="00C165F8">
      <w:pPr>
        <w:numPr>
          <w:ilvl w:val="0"/>
          <w:numId w:val="22"/>
        </w:numPr>
        <w:autoSpaceDE w:val="0"/>
        <w:autoSpaceDN w:val="0"/>
        <w:adjustRightInd w:val="0"/>
        <w:spacing w:after="120"/>
        <w:rPr>
          <w:rFonts w:ascii="Tahoma" w:hAnsi="Tahoma" w:cs="Tahoma"/>
          <w:b/>
          <w:sz w:val="23"/>
          <w:szCs w:val="23"/>
          <w:lang w:val="sr-Latn-BA"/>
        </w:rPr>
      </w:pPr>
      <w:r w:rsidRPr="0057768A">
        <w:rPr>
          <w:rFonts w:ascii="Tahoma" w:hAnsi="Tahoma" w:cs="Tahoma"/>
          <w:b/>
          <w:sz w:val="23"/>
          <w:szCs w:val="23"/>
          <w:lang w:val="sr-Latn-BA"/>
        </w:rPr>
        <w:t>REALIZOVANI PRIHODI I RASHODI</w:t>
      </w:r>
    </w:p>
    <w:p w14:paraId="24B62D3C" w14:textId="77777777" w:rsidR="00C165F8" w:rsidRPr="0057768A" w:rsidRDefault="00C165F8" w:rsidP="00C165F8">
      <w:pPr>
        <w:numPr>
          <w:ilvl w:val="1"/>
          <w:numId w:val="22"/>
        </w:numPr>
        <w:autoSpaceDE w:val="0"/>
        <w:autoSpaceDN w:val="0"/>
        <w:adjustRightInd w:val="0"/>
        <w:spacing w:after="120"/>
        <w:rPr>
          <w:rFonts w:ascii="Tahoma" w:hAnsi="Tahoma" w:cs="Tahoma"/>
          <w:b/>
          <w:sz w:val="23"/>
          <w:szCs w:val="23"/>
          <w:lang w:val="sr-Latn-BA"/>
        </w:rPr>
      </w:pPr>
      <w:r w:rsidRPr="0057768A">
        <w:rPr>
          <w:rFonts w:ascii="Tahoma" w:hAnsi="Tahoma" w:cs="Tahoma"/>
          <w:b/>
          <w:sz w:val="23"/>
          <w:szCs w:val="23"/>
          <w:lang w:val="sr-Latn-BA"/>
        </w:rPr>
        <w:t>Poslovni prihodi</w:t>
      </w:r>
    </w:p>
    <w:p w14:paraId="7BF21AE7" w14:textId="77777777" w:rsidR="00C165F8" w:rsidRPr="0057768A" w:rsidRDefault="00C165F8" w:rsidP="00C165F8">
      <w:pPr>
        <w:spacing w:after="120"/>
        <w:ind w:right="993"/>
        <w:jc w:val="right"/>
        <w:rPr>
          <w:rFonts w:ascii="Tahoma" w:hAnsi="Tahoma" w:cs="Tahoma"/>
          <w:i/>
          <w:sz w:val="23"/>
          <w:szCs w:val="23"/>
          <w:lang w:val="sr-Latn-BA"/>
        </w:rPr>
      </w:pPr>
      <w:r w:rsidRPr="0057768A">
        <w:rPr>
          <w:rFonts w:ascii="Tahoma" w:hAnsi="Tahoma" w:cs="Tahoma"/>
          <w:i/>
          <w:sz w:val="23"/>
          <w:szCs w:val="23"/>
          <w:lang w:val="sr-Latn-BA"/>
        </w:rPr>
        <w:t>(u KM)</w:t>
      </w:r>
    </w:p>
    <w:tbl>
      <w:tblPr>
        <w:tblW w:w="7720" w:type="dxa"/>
        <w:jc w:val="center"/>
        <w:tblLook w:val="04A0" w:firstRow="1" w:lastRow="0" w:firstColumn="1" w:lastColumn="0" w:noHBand="0" w:noVBand="1"/>
      </w:tblPr>
      <w:tblGrid>
        <w:gridCol w:w="4280"/>
        <w:gridCol w:w="1720"/>
        <w:gridCol w:w="1720"/>
      </w:tblGrid>
      <w:tr w:rsidR="00C165F8" w:rsidRPr="0057768A" w14:paraId="6E4B9FC3" w14:textId="77777777" w:rsidTr="008558ED">
        <w:trPr>
          <w:trHeight w:val="540"/>
          <w:jc w:val="center"/>
        </w:trPr>
        <w:tc>
          <w:tcPr>
            <w:tcW w:w="4280" w:type="dxa"/>
            <w:tcBorders>
              <w:top w:val="single" w:sz="4" w:space="0" w:color="auto"/>
              <w:left w:val="nil"/>
              <w:bottom w:val="single" w:sz="4" w:space="0" w:color="auto"/>
              <w:right w:val="nil"/>
            </w:tcBorders>
            <w:shd w:val="clear" w:color="auto" w:fill="auto"/>
            <w:vAlign w:val="center"/>
            <w:hideMark/>
          </w:tcPr>
          <w:p w14:paraId="11FF1465" w14:textId="77777777" w:rsidR="00C165F8" w:rsidRPr="0057768A" w:rsidRDefault="00C165F8" w:rsidP="008558ED">
            <w:pPr>
              <w:jc w:val="center"/>
              <w:rPr>
                <w:rFonts w:ascii="Tahoma" w:hAnsi="Tahoma" w:cs="Tahoma"/>
                <w:i/>
                <w:iCs/>
                <w:sz w:val="23"/>
                <w:szCs w:val="23"/>
                <w:lang w:val="sr-Latn-BA" w:eastAsia="sr-Latn-BA"/>
              </w:rPr>
            </w:pPr>
            <w:proofErr w:type="spellStart"/>
            <w:r w:rsidRPr="0057768A">
              <w:rPr>
                <w:rFonts w:ascii="Tahoma" w:hAnsi="Tahoma" w:cs="Tahoma"/>
                <w:i/>
                <w:iCs/>
                <w:sz w:val="23"/>
                <w:szCs w:val="23"/>
              </w:rPr>
              <w:t>Opis</w:t>
            </w:r>
            <w:proofErr w:type="spellEnd"/>
          </w:p>
        </w:tc>
        <w:tc>
          <w:tcPr>
            <w:tcW w:w="1720" w:type="dxa"/>
            <w:tcBorders>
              <w:top w:val="single" w:sz="4" w:space="0" w:color="auto"/>
              <w:left w:val="nil"/>
              <w:bottom w:val="single" w:sz="4" w:space="0" w:color="auto"/>
              <w:right w:val="nil"/>
            </w:tcBorders>
            <w:shd w:val="clear" w:color="auto" w:fill="auto"/>
            <w:vAlign w:val="center"/>
          </w:tcPr>
          <w:p w14:paraId="01BE1F91" w14:textId="77777777" w:rsidR="00C165F8" w:rsidRPr="0057768A" w:rsidRDefault="00C165F8" w:rsidP="008558ED">
            <w:pPr>
              <w:jc w:val="center"/>
              <w:rPr>
                <w:rFonts w:ascii="Tahoma" w:hAnsi="Tahoma" w:cs="Tahoma"/>
                <w:i/>
                <w:iCs/>
                <w:sz w:val="23"/>
                <w:szCs w:val="23"/>
              </w:rPr>
            </w:pPr>
            <w:r w:rsidRPr="0057768A">
              <w:rPr>
                <w:rFonts w:ascii="Tahoma" w:hAnsi="Tahoma" w:cs="Tahoma"/>
                <w:i/>
                <w:iCs/>
                <w:sz w:val="23"/>
                <w:szCs w:val="23"/>
              </w:rPr>
              <w:t>2024.</w:t>
            </w:r>
          </w:p>
        </w:tc>
        <w:tc>
          <w:tcPr>
            <w:tcW w:w="1720" w:type="dxa"/>
            <w:tcBorders>
              <w:top w:val="single" w:sz="4" w:space="0" w:color="auto"/>
              <w:left w:val="nil"/>
              <w:bottom w:val="single" w:sz="4" w:space="0" w:color="auto"/>
              <w:right w:val="nil"/>
            </w:tcBorders>
            <w:shd w:val="clear" w:color="auto" w:fill="auto"/>
            <w:noWrap/>
            <w:vAlign w:val="center"/>
            <w:hideMark/>
          </w:tcPr>
          <w:p w14:paraId="75CDABFA" w14:textId="77777777" w:rsidR="00C165F8" w:rsidRPr="0057768A" w:rsidRDefault="00C165F8" w:rsidP="008558ED">
            <w:pPr>
              <w:jc w:val="center"/>
              <w:rPr>
                <w:rFonts w:ascii="Tahoma" w:hAnsi="Tahoma" w:cs="Tahoma"/>
                <w:i/>
                <w:iCs/>
                <w:sz w:val="23"/>
                <w:szCs w:val="23"/>
              </w:rPr>
            </w:pPr>
            <w:r w:rsidRPr="0057768A">
              <w:rPr>
                <w:rFonts w:ascii="Tahoma" w:hAnsi="Tahoma" w:cs="Tahoma"/>
                <w:i/>
                <w:iCs/>
                <w:sz w:val="23"/>
                <w:szCs w:val="23"/>
              </w:rPr>
              <w:t>2023.</w:t>
            </w:r>
          </w:p>
        </w:tc>
      </w:tr>
      <w:tr w:rsidR="00C165F8" w:rsidRPr="0057768A" w14:paraId="299E29B5" w14:textId="77777777" w:rsidTr="008558ED">
        <w:trPr>
          <w:trHeight w:val="285"/>
          <w:jc w:val="center"/>
        </w:trPr>
        <w:tc>
          <w:tcPr>
            <w:tcW w:w="4280" w:type="dxa"/>
            <w:tcBorders>
              <w:top w:val="nil"/>
              <w:left w:val="nil"/>
              <w:bottom w:val="nil"/>
              <w:right w:val="nil"/>
            </w:tcBorders>
            <w:shd w:val="clear" w:color="auto" w:fill="auto"/>
            <w:noWrap/>
            <w:vAlign w:val="center"/>
            <w:hideMark/>
          </w:tcPr>
          <w:p w14:paraId="663CFC0A" w14:textId="77777777" w:rsidR="00C165F8" w:rsidRPr="0057768A" w:rsidRDefault="00C165F8" w:rsidP="008558ED">
            <w:pPr>
              <w:rPr>
                <w:rFonts w:ascii="Tahoma" w:hAnsi="Tahoma" w:cs="Tahoma"/>
                <w:sz w:val="23"/>
                <w:szCs w:val="23"/>
              </w:rPr>
            </w:pPr>
            <w:proofErr w:type="spellStart"/>
            <w:r w:rsidRPr="0057768A">
              <w:rPr>
                <w:rFonts w:ascii="Tahoma" w:hAnsi="Tahoma" w:cs="Tahoma"/>
                <w:sz w:val="23"/>
                <w:szCs w:val="23"/>
              </w:rPr>
              <w:t>Prihodi</w:t>
            </w:r>
            <w:proofErr w:type="spellEnd"/>
            <w:r w:rsidRPr="0057768A">
              <w:rPr>
                <w:rFonts w:ascii="Tahoma" w:hAnsi="Tahoma" w:cs="Tahoma"/>
                <w:sz w:val="23"/>
                <w:szCs w:val="23"/>
              </w:rPr>
              <w:t xml:space="preserve"> od </w:t>
            </w:r>
            <w:proofErr w:type="spellStart"/>
            <w:r w:rsidRPr="0057768A">
              <w:rPr>
                <w:rFonts w:ascii="Tahoma" w:hAnsi="Tahoma" w:cs="Tahoma"/>
                <w:sz w:val="23"/>
                <w:szCs w:val="23"/>
              </w:rPr>
              <w:t>dividendi</w:t>
            </w:r>
            <w:proofErr w:type="spellEnd"/>
          </w:p>
        </w:tc>
        <w:tc>
          <w:tcPr>
            <w:tcW w:w="1720" w:type="dxa"/>
            <w:tcBorders>
              <w:top w:val="nil"/>
              <w:left w:val="nil"/>
              <w:bottom w:val="nil"/>
              <w:right w:val="nil"/>
            </w:tcBorders>
            <w:shd w:val="clear" w:color="auto" w:fill="auto"/>
            <w:vAlign w:val="bottom"/>
          </w:tcPr>
          <w:p w14:paraId="4C9E03BE" w14:textId="77777777" w:rsidR="00C165F8" w:rsidRPr="0057768A" w:rsidRDefault="00C165F8" w:rsidP="008558ED">
            <w:pPr>
              <w:jc w:val="right"/>
              <w:rPr>
                <w:rFonts w:ascii="Tahoma" w:hAnsi="Tahoma" w:cs="Tahoma"/>
                <w:sz w:val="23"/>
                <w:szCs w:val="23"/>
              </w:rPr>
            </w:pPr>
            <w:r w:rsidRPr="0057768A">
              <w:rPr>
                <w:rFonts w:ascii="Tahoma" w:hAnsi="Tahoma" w:cs="Tahoma"/>
                <w:sz w:val="23"/>
                <w:szCs w:val="23"/>
              </w:rPr>
              <w:t>64.915</w:t>
            </w:r>
          </w:p>
        </w:tc>
        <w:tc>
          <w:tcPr>
            <w:tcW w:w="1720" w:type="dxa"/>
            <w:tcBorders>
              <w:top w:val="nil"/>
              <w:left w:val="nil"/>
              <w:bottom w:val="nil"/>
              <w:right w:val="nil"/>
            </w:tcBorders>
            <w:shd w:val="clear" w:color="auto" w:fill="auto"/>
            <w:noWrap/>
            <w:vAlign w:val="bottom"/>
          </w:tcPr>
          <w:p w14:paraId="65027061" w14:textId="77777777" w:rsidR="00C165F8" w:rsidRPr="0057768A" w:rsidRDefault="00C165F8" w:rsidP="008558ED">
            <w:pPr>
              <w:jc w:val="right"/>
              <w:rPr>
                <w:rFonts w:ascii="Tahoma" w:hAnsi="Tahoma" w:cs="Tahoma"/>
                <w:sz w:val="23"/>
                <w:szCs w:val="23"/>
              </w:rPr>
            </w:pPr>
            <w:r w:rsidRPr="0057768A">
              <w:rPr>
                <w:rFonts w:ascii="Tahoma" w:hAnsi="Tahoma" w:cs="Tahoma"/>
                <w:sz w:val="23"/>
                <w:szCs w:val="23"/>
              </w:rPr>
              <w:t>212.281</w:t>
            </w:r>
          </w:p>
        </w:tc>
      </w:tr>
      <w:tr w:rsidR="00C165F8" w:rsidRPr="0057768A" w14:paraId="524CFF9D" w14:textId="77777777" w:rsidTr="008558ED">
        <w:trPr>
          <w:trHeight w:val="285"/>
          <w:jc w:val="center"/>
        </w:trPr>
        <w:tc>
          <w:tcPr>
            <w:tcW w:w="4280" w:type="dxa"/>
            <w:tcBorders>
              <w:top w:val="nil"/>
              <w:left w:val="nil"/>
              <w:bottom w:val="nil"/>
              <w:right w:val="nil"/>
            </w:tcBorders>
            <w:shd w:val="clear" w:color="auto" w:fill="auto"/>
            <w:noWrap/>
            <w:vAlign w:val="center"/>
            <w:hideMark/>
          </w:tcPr>
          <w:p w14:paraId="33B2D0E2" w14:textId="77777777" w:rsidR="00C165F8" w:rsidRPr="0057768A" w:rsidRDefault="00C165F8" w:rsidP="008558ED">
            <w:pPr>
              <w:rPr>
                <w:rFonts w:ascii="Tahoma" w:hAnsi="Tahoma" w:cs="Tahoma"/>
                <w:sz w:val="23"/>
                <w:szCs w:val="23"/>
              </w:rPr>
            </w:pPr>
            <w:proofErr w:type="spellStart"/>
            <w:r w:rsidRPr="0057768A">
              <w:rPr>
                <w:rFonts w:ascii="Tahoma" w:hAnsi="Tahoma" w:cs="Tahoma"/>
                <w:sz w:val="23"/>
                <w:szCs w:val="23"/>
              </w:rPr>
              <w:t>Prihodi</w:t>
            </w:r>
            <w:proofErr w:type="spellEnd"/>
            <w:r w:rsidRPr="0057768A">
              <w:rPr>
                <w:rFonts w:ascii="Tahoma" w:hAnsi="Tahoma" w:cs="Tahoma"/>
                <w:sz w:val="23"/>
                <w:szCs w:val="23"/>
              </w:rPr>
              <w:t xml:space="preserve"> od </w:t>
            </w:r>
            <w:proofErr w:type="spellStart"/>
            <w:r w:rsidRPr="0057768A">
              <w:rPr>
                <w:rFonts w:ascii="Tahoma" w:hAnsi="Tahoma" w:cs="Tahoma"/>
                <w:sz w:val="23"/>
                <w:szCs w:val="23"/>
              </w:rPr>
              <w:t>kamata</w:t>
            </w:r>
            <w:proofErr w:type="spellEnd"/>
          </w:p>
        </w:tc>
        <w:tc>
          <w:tcPr>
            <w:tcW w:w="1720" w:type="dxa"/>
            <w:tcBorders>
              <w:top w:val="nil"/>
              <w:left w:val="nil"/>
              <w:bottom w:val="nil"/>
              <w:right w:val="nil"/>
            </w:tcBorders>
            <w:shd w:val="clear" w:color="auto" w:fill="auto"/>
            <w:vAlign w:val="center"/>
          </w:tcPr>
          <w:p w14:paraId="6E04368E" w14:textId="77777777" w:rsidR="00C165F8" w:rsidRPr="0057768A" w:rsidRDefault="00C165F8" w:rsidP="008558ED">
            <w:pPr>
              <w:jc w:val="right"/>
              <w:rPr>
                <w:rFonts w:ascii="Tahoma" w:hAnsi="Tahoma" w:cs="Tahoma"/>
                <w:sz w:val="23"/>
                <w:szCs w:val="23"/>
              </w:rPr>
            </w:pPr>
            <w:r w:rsidRPr="0057768A">
              <w:rPr>
                <w:rFonts w:ascii="Tahoma" w:hAnsi="Tahoma" w:cs="Tahoma"/>
                <w:sz w:val="23"/>
                <w:szCs w:val="23"/>
              </w:rPr>
              <w:t>-</w:t>
            </w:r>
          </w:p>
        </w:tc>
        <w:tc>
          <w:tcPr>
            <w:tcW w:w="1720" w:type="dxa"/>
            <w:tcBorders>
              <w:top w:val="nil"/>
              <w:left w:val="nil"/>
              <w:bottom w:val="nil"/>
              <w:right w:val="nil"/>
            </w:tcBorders>
            <w:shd w:val="clear" w:color="auto" w:fill="auto"/>
            <w:noWrap/>
            <w:vAlign w:val="center"/>
          </w:tcPr>
          <w:p w14:paraId="32ADD83A" w14:textId="77777777" w:rsidR="00C165F8" w:rsidRPr="0057768A" w:rsidRDefault="00C165F8" w:rsidP="008558ED">
            <w:pPr>
              <w:jc w:val="right"/>
              <w:rPr>
                <w:rFonts w:ascii="Tahoma" w:hAnsi="Tahoma" w:cs="Tahoma"/>
                <w:sz w:val="23"/>
                <w:szCs w:val="23"/>
              </w:rPr>
            </w:pPr>
            <w:r w:rsidRPr="0057768A">
              <w:rPr>
                <w:rFonts w:ascii="Tahoma" w:hAnsi="Tahoma" w:cs="Tahoma"/>
                <w:sz w:val="23"/>
                <w:szCs w:val="23"/>
              </w:rPr>
              <w:t>-</w:t>
            </w:r>
          </w:p>
        </w:tc>
      </w:tr>
      <w:tr w:rsidR="00C165F8" w:rsidRPr="0057768A" w14:paraId="535D498E" w14:textId="77777777" w:rsidTr="008558ED">
        <w:trPr>
          <w:trHeight w:val="255"/>
          <w:jc w:val="center"/>
        </w:trPr>
        <w:tc>
          <w:tcPr>
            <w:tcW w:w="4280" w:type="dxa"/>
            <w:tcBorders>
              <w:top w:val="nil"/>
              <w:left w:val="nil"/>
              <w:bottom w:val="nil"/>
              <w:right w:val="nil"/>
            </w:tcBorders>
            <w:shd w:val="clear" w:color="auto" w:fill="auto"/>
            <w:vAlign w:val="center"/>
            <w:hideMark/>
          </w:tcPr>
          <w:p w14:paraId="6EF6FC01" w14:textId="77777777" w:rsidR="00C165F8" w:rsidRPr="0057768A" w:rsidRDefault="00C165F8" w:rsidP="008558ED">
            <w:pPr>
              <w:rPr>
                <w:rFonts w:ascii="Tahoma" w:hAnsi="Tahoma" w:cs="Tahoma"/>
                <w:sz w:val="23"/>
                <w:szCs w:val="23"/>
              </w:rPr>
            </w:pPr>
            <w:proofErr w:type="spellStart"/>
            <w:r w:rsidRPr="0057768A">
              <w:rPr>
                <w:rFonts w:ascii="Tahoma" w:hAnsi="Tahoma" w:cs="Tahoma"/>
                <w:sz w:val="23"/>
                <w:szCs w:val="23"/>
              </w:rPr>
              <w:t>Ostali</w:t>
            </w:r>
            <w:proofErr w:type="spellEnd"/>
            <w:r w:rsidRPr="0057768A">
              <w:rPr>
                <w:rFonts w:ascii="Tahoma" w:hAnsi="Tahoma" w:cs="Tahoma"/>
                <w:sz w:val="23"/>
                <w:szCs w:val="23"/>
              </w:rPr>
              <w:t xml:space="preserve"> </w:t>
            </w:r>
            <w:proofErr w:type="spellStart"/>
            <w:r w:rsidRPr="0057768A">
              <w:rPr>
                <w:rFonts w:ascii="Tahoma" w:hAnsi="Tahoma" w:cs="Tahoma"/>
                <w:sz w:val="23"/>
                <w:szCs w:val="23"/>
              </w:rPr>
              <w:t>poslovni</w:t>
            </w:r>
            <w:proofErr w:type="spellEnd"/>
            <w:r w:rsidRPr="0057768A">
              <w:rPr>
                <w:rFonts w:ascii="Tahoma" w:hAnsi="Tahoma" w:cs="Tahoma"/>
                <w:sz w:val="23"/>
                <w:szCs w:val="23"/>
              </w:rPr>
              <w:t xml:space="preserve"> </w:t>
            </w:r>
            <w:proofErr w:type="spellStart"/>
            <w:r w:rsidRPr="0057768A">
              <w:rPr>
                <w:rFonts w:ascii="Tahoma" w:hAnsi="Tahoma" w:cs="Tahoma"/>
                <w:sz w:val="23"/>
                <w:szCs w:val="23"/>
              </w:rPr>
              <w:t>prihodi</w:t>
            </w:r>
            <w:proofErr w:type="spellEnd"/>
          </w:p>
        </w:tc>
        <w:tc>
          <w:tcPr>
            <w:tcW w:w="1720" w:type="dxa"/>
            <w:tcBorders>
              <w:top w:val="nil"/>
              <w:left w:val="nil"/>
              <w:bottom w:val="double" w:sz="6" w:space="0" w:color="auto"/>
              <w:right w:val="nil"/>
            </w:tcBorders>
            <w:shd w:val="clear" w:color="auto" w:fill="auto"/>
            <w:vAlign w:val="center"/>
          </w:tcPr>
          <w:p w14:paraId="142EA7A1" w14:textId="77777777" w:rsidR="00C165F8" w:rsidRPr="0057768A" w:rsidRDefault="00C165F8" w:rsidP="008558ED">
            <w:pPr>
              <w:jc w:val="right"/>
              <w:rPr>
                <w:rFonts w:ascii="Tahoma" w:hAnsi="Tahoma" w:cs="Tahoma"/>
                <w:sz w:val="23"/>
                <w:szCs w:val="23"/>
              </w:rPr>
            </w:pPr>
            <w:r w:rsidRPr="0057768A">
              <w:rPr>
                <w:rFonts w:ascii="Tahoma" w:hAnsi="Tahoma" w:cs="Tahoma"/>
                <w:sz w:val="23"/>
                <w:szCs w:val="23"/>
              </w:rPr>
              <w:t>-</w:t>
            </w:r>
          </w:p>
        </w:tc>
        <w:tc>
          <w:tcPr>
            <w:tcW w:w="1720" w:type="dxa"/>
            <w:tcBorders>
              <w:top w:val="nil"/>
              <w:left w:val="nil"/>
              <w:bottom w:val="double" w:sz="6" w:space="0" w:color="auto"/>
              <w:right w:val="nil"/>
            </w:tcBorders>
            <w:shd w:val="clear" w:color="auto" w:fill="auto"/>
            <w:noWrap/>
            <w:vAlign w:val="center"/>
          </w:tcPr>
          <w:p w14:paraId="5CE1894D" w14:textId="77777777" w:rsidR="00C165F8" w:rsidRPr="0057768A" w:rsidRDefault="00C165F8" w:rsidP="008558ED">
            <w:pPr>
              <w:jc w:val="right"/>
              <w:rPr>
                <w:rFonts w:ascii="Tahoma" w:hAnsi="Tahoma" w:cs="Tahoma"/>
                <w:sz w:val="23"/>
                <w:szCs w:val="23"/>
              </w:rPr>
            </w:pPr>
            <w:r w:rsidRPr="0057768A">
              <w:rPr>
                <w:rFonts w:ascii="Tahoma" w:hAnsi="Tahoma" w:cs="Tahoma"/>
                <w:sz w:val="23"/>
                <w:szCs w:val="23"/>
              </w:rPr>
              <w:t>-</w:t>
            </w:r>
          </w:p>
        </w:tc>
      </w:tr>
      <w:tr w:rsidR="00C165F8" w:rsidRPr="0057768A" w14:paraId="7D5DF4C2" w14:textId="77777777" w:rsidTr="008558ED">
        <w:trPr>
          <w:trHeight w:val="300"/>
          <w:jc w:val="center"/>
        </w:trPr>
        <w:tc>
          <w:tcPr>
            <w:tcW w:w="4280" w:type="dxa"/>
            <w:tcBorders>
              <w:top w:val="nil"/>
              <w:left w:val="nil"/>
              <w:bottom w:val="single" w:sz="4" w:space="0" w:color="auto"/>
              <w:right w:val="nil"/>
            </w:tcBorders>
            <w:shd w:val="clear" w:color="auto" w:fill="auto"/>
            <w:noWrap/>
            <w:vAlign w:val="center"/>
            <w:hideMark/>
          </w:tcPr>
          <w:p w14:paraId="3CDBACB8" w14:textId="77777777" w:rsidR="00C165F8" w:rsidRPr="0057768A" w:rsidRDefault="00C165F8" w:rsidP="008558ED">
            <w:pPr>
              <w:rPr>
                <w:rFonts w:ascii="Tahoma" w:hAnsi="Tahoma" w:cs="Tahoma"/>
                <w:b/>
                <w:bCs/>
                <w:sz w:val="23"/>
                <w:szCs w:val="23"/>
              </w:rPr>
            </w:pPr>
            <w:proofErr w:type="spellStart"/>
            <w:r w:rsidRPr="0057768A">
              <w:rPr>
                <w:rFonts w:ascii="Tahoma" w:hAnsi="Tahoma" w:cs="Tahoma"/>
                <w:b/>
                <w:bCs/>
                <w:sz w:val="23"/>
                <w:szCs w:val="23"/>
              </w:rPr>
              <w:t>Ukupno</w:t>
            </w:r>
            <w:proofErr w:type="spellEnd"/>
            <w:r w:rsidRPr="0057768A">
              <w:rPr>
                <w:rFonts w:ascii="Tahoma" w:hAnsi="Tahoma" w:cs="Tahoma"/>
                <w:b/>
                <w:bCs/>
                <w:sz w:val="23"/>
                <w:szCs w:val="23"/>
              </w:rPr>
              <w:t xml:space="preserve"> </w:t>
            </w:r>
            <w:proofErr w:type="spellStart"/>
            <w:r w:rsidRPr="0057768A">
              <w:rPr>
                <w:rFonts w:ascii="Tahoma" w:hAnsi="Tahoma" w:cs="Tahoma"/>
                <w:b/>
                <w:bCs/>
                <w:sz w:val="23"/>
                <w:szCs w:val="23"/>
              </w:rPr>
              <w:t>poslovni</w:t>
            </w:r>
            <w:proofErr w:type="spellEnd"/>
            <w:r w:rsidRPr="0057768A">
              <w:rPr>
                <w:rFonts w:ascii="Tahoma" w:hAnsi="Tahoma" w:cs="Tahoma"/>
                <w:b/>
                <w:bCs/>
                <w:sz w:val="23"/>
                <w:szCs w:val="23"/>
              </w:rPr>
              <w:t xml:space="preserve"> </w:t>
            </w:r>
            <w:proofErr w:type="spellStart"/>
            <w:r w:rsidRPr="0057768A">
              <w:rPr>
                <w:rFonts w:ascii="Tahoma" w:hAnsi="Tahoma" w:cs="Tahoma"/>
                <w:b/>
                <w:bCs/>
                <w:sz w:val="23"/>
                <w:szCs w:val="23"/>
              </w:rPr>
              <w:t>prihodi</w:t>
            </w:r>
            <w:proofErr w:type="spellEnd"/>
          </w:p>
        </w:tc>
        <w:tc>
          <w:tcPr>
            <w:tcW w:w="1720" w:type="dxa"/>
            <w:tcBorders>
              <w:top w:val="nil"/>
              <w:left w:val="nil"/>
              <w:bottom w:val="single" w:sz="4" w:space="0" w:color="auto"/>
              <w:right w:val="nil"/>
            </w:tcBorders>
            <w:shd w:val="clear" w:color="auto" w:fill="auto"/>
            <w:vAlign w:val="bottom"/>
          </w:tcPr>
          <w:p w14:paraId="527DEA68" w14:textId="77777777" w:rsidR="00C165F8" w:rsidRPr="0057768A" w:rsidRDefault="00C165F8" w:rsidP="008558ED">
            <w:pPr>
              <w:jc w:val="right"/>
              <w:rPr>
                <w:rFonts w:ascii="Tahoma" w:hAnsi="Tahoma" w:cs="Tahoma"/>
                <w:b/>
                <w:bCs/>
                <w:sz w:val="23"/>
                <w:szCs w:val="23"/>
              </w:rPr>
            </w:pPr>
            <w:r w:rsidRPr="0057768A">
              <w:rPr>
                <w:rFonts w:ascii="Tahoma" w:hAnsi="Tahoma" w:cs="Tahoma"/>
                <w:b/>
                <w:bCs/>
                <w:sz w:val="23"/>
                <w:szCs w:val="23"/>
              </w:rPr>
              <w:t>64.915</w:t>
            </w:r>
          </w:p>
        </w:tc>
        <w:tc>
          <w:tcPr>
            <w:tcW w:w="1720" w:type="dxa"/>
            <w:tcBorders>
              <w:top w:val="nil"/>
              <w:left w:val="nil"/>
              <w:bottom w:val="single" w:sz="4" w:space="0" w:color="auto"/>
              <w:right w:val="nil"/>
            </w:tcBorders>
            <w:shd w:val="clear" w:color="auto" w:fill="auto"/>
            <w:noWrap/>
            <w:vAlign w:val="bottom"/>
          </w:tcPr>
          <w:p w14:paraId="43967046" w14:textId="77777777" w:rsidR="00C165F8" w:rsidRPr="0057768A" w:rsidRDefault="00C165F8" w:rsidP="008558ED">
            <w:pPr>
              <w:jc w:val="right"/>
              <w:rPr>
                <w:rFonts w:ascii="Tahoma" w:hAnsi="Tahoma" w:cs="Tahoma"/>
                <w:b/>
                <w:bCs/>
                <w:sz w:val="23"/>
                <w:szCs w:val="23"/>
              </w:rPr>
            </w:pPr>
            <w:r w:rsidRPr="0057768A">
              <w:rPr>
                <w:rFonts w:ascii="Tahoma" w:hAnsi="Tahoma" w:cs="Tahoma"/>
                <w:b/>
                <w:bCs/>
                <w:sz w:val="23"/>
                <w:szCs w:val="23"/>
              </w:rPr>
              <w:t>212.281</w:t>
            </w:r>
          </w:p>
        </w:tc>
      </w:tr>
    </w:tbl>
    <w:p w14:paraId="1883B3AF" w14:textId="77777777" w:rsidR="00C165F8" w:rsidRPr="0057768A" w:rsidRDefault="00C165F8" w:rsidP="00C165F8">
      <w:pPr>
        <w:autoSpaceDE w:val="0"/>
        <w:autoSpaceDN w:val="0"/>
        <w:adjustRightInd w:val="0"/>
        <w:spacing w:after="120"/>
        <w:rPr>
          <w:rFonts w:ascii="Tahoma" w:hAnsi="Tahoma" w:cs="Tahoma"/>
          <w:b/>
          <w:sz w:val="23"/>
          <w:szCs w:val="23"/>
          <w:lang w:val="sr-Latn-BA"/>
        </w:rPr>
      </w:pPr>
    </w:p>
    <w:p w14:paraId="0F910822" w14:textId="77777777" w:rsidR="00C165F8" w:rsidRPr="00C165F8" w:rsidRDefault="00C165F8" w:rsidP="00C165F8">
      <w:pPr>
        <w:ind w:firstLine="720"/>
        <w:jc w:val="both"/>
        <w:rPr>
          <w:rFonts w:ascii="Cambria" w:hAnsi="Cambria"/>
          <w:noProof/>
          <w:sz w:val="22"/>
          <w:szCs w:val="22"/>
          <w:lang w:val="sr-Latn-BA"/>
        </w:rPr>
      </w:pPr>
      <w:r w:rsidRPr="00C165F8">
        <w:rPr>
          <w:rFonts w:ascii="Tahoma" w:hAnsi="Tahoma" w:cs="Tahoma"/>
          <w:bCs/>
          <w:sz w:val="23"/>
          <w:szCs w:val="23"/>
          <w:lang w:val="sr-Latn-BA"/>
        </w:rPr>
        <w:t xml:space="preserve">Prihod od dividendi je u 2024. godini iznosio 64.915 KM (u 2023. godini 212.281 KM) i, u iznosu od  KM se odnosi na dividendu emitenta </w:t>
      </w:r>
      <w:r w:rsidRPr="00C165F8">
        <w:rPr>
          <w:rFonts w:ascii="Cambria" w:hAnsi="Cambria"/>
          <w:noProof/>
          <w:sz w:val="22"/>
          <w:szCs w:val="22"/>
          <w:lang w:val="sr-Latn-BA"/>
        </w:rPr>
        <w:t>BHTS – 24317,90</w:t>
      </w:r>
      <w:r w:rsidRPr="00C165F8">
        <w:rPr>
          <w:rFonts w:ascii="Cambria" w:hAnsi="Cambria"/>
          <w:noProof/>
          <w:sz w:val="22"/>
          <w:szCs w:val="22"/>
          <w:lang w:val="sr-Latn-BA"/>
        </w:rPr>
        <w:softHyphen/>
        <w:t>; TLKM – 28280,91; KRKG – 8,493,19; BHTSR – 3822,62</w:t>
      </w:r>
    </w:p>
    <w:p w14:paraId="49F1C5BC" w14:textId="77777777" w:rsidR="00C165F8" w:rsidRDefault="00C165F8" w:rsidP="00C165F8">
      <w:pPr>
        <w:ind w:firstLine="720"/>
        <w:jc w:val="both"/>
        <w:rPr>
          <w:rFonts w:ascii="Cambria" w:hAnsi="Cambria"/>
          <w:noProof/>
          <w:sz w:val="22"/>
          <w:szCs w:val="22"/>
          <w:lang w:val="sr-Latn-BA"/>
        </w:rPr>
      </w:pPr>
    </w:p>
    <w:p w14:paraId="5B3B9EC7" w14:textId="77777777" w:rsidR="00C165F8" w:rsidRDefault="00C165F8" w:rsidP="00C165F8">
      <w:pPr>
        <w:ind w:firstLine="720"/>
        <w:jc w:val="both"/>
        <w:rPr>
          <w:rFonts w:ascii="Cambria" w:hAnsi="Cambria"/>
          <w:noProof/>
          <w:sz w:val="22"/>
          <w:szCs w:val="22"/>
          <w:lang w:val="sr-Latn-BA"/>
        </w:rPr>
      </w:pPr>
    </w:p>
    <w:p w14:paraId="19471E33" w14:textId="77777777" w:rsidR="00C165F8" w:rsidRDefault="00C165F8" w:rsidP="00C165F8">
      <w:pPr>
        <w:ind w:firstLine="720"/>
        <w:jc w:val="both"/>
        <w:rPr>
          <w:rFonts w:ascii="Cambria" w:hAnsi="Cambria"/>
          <w:noProof/>
          <w:sz w:val="22"/>
          <w:szCs w:val="22"/>
          <w:lang w:val="sr-Latn-BA"/>
        </w:rPr>
      </w:pPr>
    </w:p>
    <w:p w14:paraId="585E3F33" w14:textId="77777777" w:rsidR="00C165F8" w:rsidRDefault="00C165F8" w:rsidP="00C165F8">
      <w:pPr>
        <w:ind w:firstLine="720"/>
        <w:jc w:val="both"/>
        <w:rPr>
          <w:rFonts w:ascii="Cambria" w:hAnsi="Cambria"/>
          <w:noProof/>
          <w:sz w:val="22"/>
          <w:szCs w:val="22"/>
          <w:lang w:val="sr-Latn-BA"/>
        </w:rPr>
      </w:pPr>
    </w:p>
    <w:p w14:paraId="32AB7BF8" w14:textId="77777777" w:rsidR="00C165F8" w:rsidRPr="001707CF" w:rsidRDefault="00C165F8" w:rsidP="00C165F8">
      <w:pPr>
        <w:autoSpaceDE w:val="0"/>
        <w:autoSpaceDN w:val="0"/>
        <w:adjustRightInd w:val="0"/>
        <w:spacing w:after="120"/>
        <w:rPr>
          <w:rFonts w:ascii="Tahoma" w:hAnsi="Tahoma" w:cs="Tahoma"/>
          <w:bCs/>
          <w:sz w:val="23"/>
          <w:szCs w:val="23"/>
          <w:lang w:val="sr-Latn-BA"/>
        </w:rPr>
      </w:pPr>
    </w:p>
    <w:p w14:paraId="77BF96E8" w14:textId="77777777" w:rsidR="00C165F8" w:rsidRPr="001707CF" w:rsidRDefault="00C165F8" w:rsidP="00C165F8">
      <w:pPr>
        <w:autoSpaceDE w:val="0"/>
        <w:autoSpaceDN w:val="0"/>
        <w:adjustRightInd w:val="0"/>
        <w:spacing w:after="120"/>
        <w:rPr>
          <w:rFonts w:ascii="Tahoma" w:hAnsi="Tahoma" w:cs="Tahoma"/>
          <w:b/>
          <w:sz w:val="23"/>
          <w:szCs w:val="23"/>
          <w:lang w:val="sr-Latn-BA"/>
        </w:rPr>
      </w:pPr>
    </w:p>
    <w:p w14:paraId="0C0D3CDE" w14:textId="77777777" w:rsidR="00C165F8" w:rsidRPr="001707CF" w:rsidRDefault="00C165F8" w:rsidP="00C165F8">
      <w:pPr>
        <w:spacing w:after="120"/>
        <w:jc w:val="both"/>
        <w:rPr>
          <w:rFonts w:ascii="Tahoma" w:hAnsi="Tahoma" w:cs="Tahoma"/>
          <w:sz w:val="23"/>
          <w:szCs w:val="23"/>
          <w:lang w:val="sr-Latn-BA"/>
        </w:rPr>
      </w:pPr>
    </w:p>
    <w:p w14:paraId="72E4CA6A" w14:textId="77777777" w:rsidR="00C165F8" w:rsidRPr="001707CF" w:rsidRDefault="00C165F8" w:rsidP="00C165F8">
      <w:pPr>
        <w:spacing w:after="120"/>
        <w:jc w:val="both"/>
        <w:rPr>
          <w:rFonts w:ascii="Tahoma" w:hAnsi="Tahoma" w:cs="Tahoma"/>
          <w:sz w:val="23"/>
          <w:szCs w:val="23"/>
          <w:lang w:val="sr-Latn-BA"/>
        </w:rPr>
      </w:pPr>
    </w:p>
    <w:p w14:paraId="4E36466F" w14:textId="77777777" w:rsidR="00C165F8" w:rsidRPr="001707CF" w:rsidRDefault="00C165F8" w:rsidP="00C165F8">
      <w:pPr>
        <w:spacing w:after="120"/>
        <w:jc w:val="both"/>
        <w:rPr>
          <w:rFonts w:ascii="Tahoma" w:hAnsi="Tahoma" w:cs="Tahoma"/>
          <w:sz w:val="23"/>
          <w:szCs w:val="23"/>
          <w:lang w:val="sr-Latn-BA"/>
        </w:rPr>
      </w:pPr>
    </w:p>
    <w:p w14:paraId="1338E8F8" w14:textId="77777777" w:rsidR="00C165F8" w:rsidRPr="001707CF" w:rsidRDefault="00C165F8" w:rsidP="00C165F8">
      <w:pPr>
        <w:spacing w:after="120"/>
        <w:jc w:val="both"/>
        <w:rPr>
          <w:rFonts w:ascii="Tahoma" w:hAnsi="Tahoma" w:cs="Tahoma"/>
          <w:sz w:val="23"/>
          <w:szCs w:val="23"/>
          <w:lang w:val="sr-Latn-BA"/>
        </w:rPr>
      </w:pPr>
    </w:p>
    <w:p w14:paraId="094E2101" w14:textId="77777777" w:rsidR="00C165F8" w:rsidRPr="001707CF" w:rsidRDefault="00C165F8" w:rsidP="00C165F8">
      <w:pPr>
        <w:spacing w:after="120"/>
        <w:jc w:val="both"/>
        <w:rPr>
          <w:rFonts w:ascii="Tahoma" w:hAnsi="Tahoma" w:cs="Tahoma"/>
          <w:b/>
          <w:sz w:val="23"/>
          <w:szCs w:val="23"/>
          <w:lang w:val="sr-Latn-BA"/>
        </w:rPr>
      </w:pPr>
    </w:p>
    <w:p w14:paraId="1554CB9A" w14:textId="77777777" w:rsidR="00C165F8" w:rsidRPr="001707CF" w:rsidRDefault="00C165F8" w:rsidP="00C165F8">
      <w:pPr>
        <w:numPr>
          <w:ilvl w:val="1"/>
          <w:numId w:val="22"/>
        </w:numPr>
        <w:autoSpaceDE w:val="0"/>
        <w:autoSpaceDN w:val="0"/>
        <w:adjustRightInd w:val="0"/>
        <w:spacing w:after="120"/>
        <w:rPr>
          <w:rFonts w:ascii="Tahoma" w:hAnsi="Tahoma" w:cs="Tahoma"/>
          <w:b/>
          <w:sz w:val="23"/>
          <w:szCs w:val="23"/>
          <w:lang w:val="sr-Latn-BA"/>
        </w:rPr>
      </w:pPr>
      <w:bookmarkStart w:id="2" w:name="_Hlk37755634"/>
      <w:r w:rsidRPr="001707CF">
        <w:rPr>
          <w:rFonts w:ascii="Tahoma" w:hAnsi="Tahoma" w:cs="Tahoma"/>
          <w:b/>
          <w:sz w:val="23"/>
          <w:szCs w:val="23"/>
          <w:lang w:val="sr-Latn-BA"/>
        </w:rPr>
        <w:t xml:space="preserve">Poslovni rashodi </w:t>
      </w:r>
    </w:p>
    <w:p w14:paraId="71139B2C" w14:textId="77777777" w:rsidR="00C165F8" w:rsidRPr="001707CF" w:rsidRDefault="00C165F8" w:rsidP="00C165F8">
      <w:pPr>
        <w:spacing w:after="120"/>
        <w:ind w:right="1"/>
        <w:jc w:val="right"/>
        <w:rPr>
          <w:rFonts w:ascii="Tahoma" w:hAnsi="Tahoma" w:cs="Tahoma"/>
          <w:i/>
          <w:sz w:val="23"/>
          <w:szCs w:val="23"/>
          <w:lang w:val="sr-Latn-BA"/>
        </w:rPr>
      </w:pPr>
      <w:r w:rsidRPr="001707CF">
        <w:rPr>
          <w:rFonts w:ascii="Tahoma" w:hAnsi="Tahoma" w:cs="Tahoma"/>
          <w:i/>
          <w:sz w:val="23"/>
          <w:szCs w:val="23"/>
          <w:lang w:val="sr-Latn-BA"/>
        </w:rPr>
        <w:t xml:space="preserve">     (u KM)</w:t>
      </w:r>
    </w:p>
    <w:tbl>
      <w:tblPr>
        <w:tblW w:w="8845" w:type="dxa"/>
        <w:jc w:val="center"/>
        <w:tblLook w:val="04A0" w:firstRow="1" w:lastRow="0" w:firstColumn="1" w:lastColumn="0" w:noHBand="0" w:noVBand="1"/>
      </w:tblPr>
      <w:tblGrid>
        <w:gridCol w:w="5085"/>
        <w:gridCol w:w="1880"/>
        <w:gridCol w:w="1880"/>
      </w:tblGrid>
      <w:tr w:rsidR="00C165F8" w:rsidRPr="001707CF" w14:paraId="0A29F3FA" w14:textId="77777777" w:rsidTr="008558ED">
        <w:trPr>
          <w:trHeight w:val="390"/>
          <w:jc w:val="center"/>
        </w:trPr>
        <w:tc>
          <w:tcPr>
            <w:tcW w:w="5085" w:type="dxa"/>
            <w:tcBorders>
              <w:top w:val="single" w:sz="4" w:space="0" w:color="auto"/>
              <w:left w:val="nil"/>
              <w:bottom w:val="single" w:sz="4" w:space="0" w:color="auto"/>
              <w:right w:val="nil"/>
            </w:tcBorders>
            <w:shd w:val="clear" w:color="auto" w:fill="auto"/>
            <w:vAlign w:val="center"/>
            <w:hideMark/>
          </w:tcPr>
          <w:bookmarkEnd w:id="2"/>
          <w:p w14:paraId="1834EB16" w14:textId="77777777" w:rsidR="00C165F8" w:rsidRPr="001707CF" w:rsidRDefault="00C165F8" w:rsidP="008558ED">
            <w:pPr>
              <w:jc w:val="center"/>
              <w:rPr>
                <w:rFonts w:ascii="Tahoma" w:hAnsi="Tahoma" w:cs="Tahoma"/>
                <w:i/>
                <w:iCs/>
                <w:sz w:val="23"/>
                <w:szCs w:val="23"/>
                <w:lang w:val="sr-Latn-BA" w:eastAsia="sr-Latn-BA"/>
              </w:rPr>
            </w:pPr>
            <w:proofErr w:type="spellStart"/>
            <w:r w:rsidRPr="001707CF">
              <w:rPr>
                <w:rFonts w:ascii="Tahoma" w:hAnsi="Tahoma" w:cs="Tahoma"/>
                <w:i/>
                <w:iCs/>
                <w:sz w:val="23"/>
                <w:szCs w:val="23"/>
              </w:rPr>
              <w:t>Opis</w:t>
            </w:r>
            <w:proofErr w:type="spellEnd"/>
          </w:p>
        </w:tc>
        <w:tc>
          <w:tcPr>
            <w:tcW w:w="1880" w:type="dxa"/>
            <w:tcBorders>
              <w:top w:val="single" w:sz="4" w:space="0" w:color="auto"/>
              <w:left w:val="nil"/>
              <w:bottom w:val="single" w:sz="4" w:space="0" w:color="auto"/>
              <w:right w:val="nil"/>
            </w:tcBorders>
            <w:vAlign w:val="center"/>
          </w:tcPr>
          <w:p w14:paraId="412B6776" w14:textId="77777777" w:rsidR="00C165F8" w:rsidRPr="001707CF" w:rsidRDefault="00C165F8" w:rsidP="008558ED">
            <w:pPr>
              <w:jc w:val="center"/>
              <w:rPr>
                <w:rFonts w:ascii="Tahoma" w:hAnsi="Tahoma" w:cs="Tahoma"/>
                <w:i/>
                <w:iCs/>
                <w:sz w:val="23"/>
                <w:szCs w:val="23"/>
              </w:rPr>
            </w:pPr>
            <w:r>
              <w:rPr>
                <w:rFonts w:ascii="Tahoma" w:hAnsi="Tahoma" w:cs="Tahoma"/>
                <w:i/>
                <w:iCs/>
                <w:sz w:val="23"/>
                <w:szCs w:val="23"/>
              </w:rPr>
              <w:t>2024</w:t>
            </w:r>
            <w:r w:rsidRPr="001707CF">
              <w:rPr>
                <w:rFonts w:ascii="Tahoma" w:hAnsi="Tahoma" w:cs="Tahoma"/>
                <w:i/>
                <w:iCs/>
                <w:sz w:val="23"/>
                <w:szCs w:val="23"/>
              </w:rPr>
              <w:t>.</w:t>
            </w:r>
          </w:p>
        </w:tc>
        <w:tc>
          <w:tcPr>
            <w:tcW w:w="1880" w:type="dxa"/>
            <w:tcBorders>
              <w:top w:val="single" w:sz="4" w:space="0" w:color="auto"/>
              <w:left w:val="nil"/>
              <w:bottom w:val="single" w:sz="4" w:space="0" w:color="auto"/>
              <w:right w:val="nil"/>
            </w:tcBorders>
            <w:shd w:val="clear" w:color="auto" w:fill="auto"/>
            <w:noWrap/>
            <w:vAlign w:val="center"/>
            <w:hideMark/>
          </w:tcPr>
          <w:p w14:paraId="392CE3BF" w14:textId="77777777" w:rsidR="00C165F8" w:rsidRPr="001707CF" w:rsidRDefault="00C165F8" w:rsidP="008558ED">
            <w:pPr>
              <w:jc w:val="center"/>
              <w:rPr>
                <w:rFonts w:ascii="Tahoma" w:hAnsi="Tahoma" w:cs="Tahoma"/>
                <w:i/>
                <w:iCs/>
                <w:sz w:val="23"/>
                <w:szCs w:val="23"/>
              </w:rPr>
            </w:pPr>
            <w:r>
              <w:rPr>
                <w:rFonts w:ascii="Tahoma" w:hAnsi="Tahoma" w:cs="Tahoma"/>
                <w:i/>
                <w:iCs/>
                <w:sz w:val="23"/>
                <w:szCs w:val="23"/>
              </w:rPr>
              <w:t>2023</w:t>
            </w:r>
            <w:r w:rsidRPr="001707CF">
              <w:rPr>
                <w:rFonts w:ascii="Tahoma" w:hAnsi="Tahoma" w:cs="Tahoma"/>
                <w:i/>
                <w:iCs/>
                <w:sz w:val="23"/>
                <w:szCs w:val="23"/>
              </w:rPr>
              <w:t>.</w:t>
            </w:r>
          </w:p>
        </w:tc>
      </w:tr>
      <w:tr w:rsidR="00C165F8" w:rsidRPr="001707CF" w14:paraId="2BE2D480" w14:textId="77777777" w:rsidTr="008558ED">
        <w:trPr>
          <w:trHeight w:val="285"/>
          <w:jc w:val="center"/>
        </w:trPr>
        <w:tc>
          <w:tcPr>
            <w:tcW w:w="5085" w:type="dxa"/>
            <w:tcBorders>
              <w:top w:val="nil"/>
              <w:left w:val="nil"/>
              <w:bottom w:val="nil"/>
              <w:right w:val="nil"/>
            </w:tcBorders>
            <w:shd w:val="clear" w:color="auto" w:fill="auto"/>
            <w:noWrap/>
            <w:vAlign w:val="center"/>
            <w:hideMark/>
          </w:tcPr>
          <w:p w14:paraId="06816C48" w14:textId="77777777" w:rsidR="00C165F8" w:rsidRPr="001707CF" w:rsidRDefault="00C165F8" w:rsidP="008558ED">
            <w:pPr>
              <w:rPr>
                <w:rFonts w:ascii="Tahoma" w:hAnsi="Tahoma" w:cs="Tahoma"/>
                <w:sz w:val="23"/>
                <w:szCs w:val="23"/>
              </w:rPr>
            </w:pPr>
            <w:proofErr w:type="spellStart"/>
            <w:r w:rsidRPr="001707CF">
              <w:rPr>
                <w:rFonts w:ascii="Tahoma" w:hAnsi="Tahoma" w:cs="Tahoma"/>
                <w:sz w:val="23"/>
                <w:szCs w:val="23"/>
              </w:rPr>
              <w:t>Naknada</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društvu</w:t>
            </w:r>
            <w:proofErr w:type="spellEnd"/>
            <w:r w:rsidRPr="001707CF">
              <w:rPr>
                <w:rFonts w:ascii="Tahoma" w:hAnsi="Tahoma" w:cs="Tahoma"/>
                <w:sz w:val="23"/>
                <w:szCs w:val="23"/>
              </w:rPr>
              <w:t xml:space="preserve"> za </w:t>
            </w:r>
            <w:proofErr w:type="spellStart"/>
            <w:r w:rsidRPr="001707CF">
              <w:rPr>
                <w:rFonts w:ascii="Tahoma" w:hAnsi="Tahoma" w:cs="Tahoma"/>
                <w:sz w:val="23"/>
                <w:szCs w:val="23"/>
              </w:rPr>
              <w:t>upravljanje</w:t>
            </w:r>
            <w:proofErr w:type="spellEnd"/>
            <w:r w:rsidRPr="001707CF">
              <w:rPr>
                <w:rFonts w:ascii="Tahoma" w:hAnsi="Tahoma" w:cs="Tahoma"/>
                <w:sz w:val="23"/>
                <w:szCs w:val="23"/>
              </w:rPr>
              <w:t xml:space="preserve"> </w:t>
            </w:r>
          </w:p>
        </w:tc>
        <w:tc>
          <w:tcPr>
            <w:tcW w:w="1880" w:type="dxa"/>
            <w:tcBorders>
              <w:top w:val="nil"/>
              <w:left w:val="nil"/>
              <w:bottom w:val="nil"/>
              <w:right w:val="nil"/>
            </w:tcBorders>
            <w:vAlign w:val="center"/>
          </w:tcPr>
          <w:p w14:paraId="2E23AAF3" w14:textId="77777777" w:rsidR="00C165F8" w:rsidRPr="001707CF" w:rsidRDefault="00C165F8" w:rsidP="008558ED">
            <w:pPr>
              <w:jc w:val="right"/>
              <w:rPr>
                <w:rFonts w:ascii="Tahoma" w:hAnsi="Tahoma" w:cs="Tahoma"/>
                <w:sz w:val="23"/>
                <w:szCs w:val="23"/>
              </w:rPr>
            </w:pPr>
            <w:r>
              <w:rPr>
                <w:rFonts w:ascii="Tahoma" w:hAnsi="Tahoma" w:cs="Tahoma"/>
                <w:sz w:val="23"/>
                <w:szCs w:val="23"/>
              </w:rPr>
              <w:t>228.107</w:t>
            </w:r>
          </w:p>
        </w:tc>
        <w:tc>
          <w:tcPr>
            <w:tcW w:w="1880" w:type="dxa"/>
            <w:tcBorders>
              <w:top w:val="nil"/>
              <w:left w:val="nil"/>
              <w:bottom w:val="nil"/>
              <w:right w:val="nil"/>
            </w:tcBorders>
            <w:shd w:val="clear" w:color="auto" w:fill="auto"/>
            <w:noWrap/>
            <w:vAlign w:val="center"/>
          </w:tcPr>
          <w:p w14:paraId="2961E6DF" w14:textId="77777777" w:rsidR="00C165F8" w:rsidRPr="001707CF" w:rsidRDefault="00C165F8" w:rsidP="008558ED">
            <w:pPr>
              <w:jc w:val="right"/>
              <w:rPr>
                <w:rFonts w:ascii="Tahoma" w:hAnsi="Tahoma" w:cs="Tahoma"/>
                <w:sz w:val="23"/>
                <w:szCs w:val="23"/>
              </w:rPr>
            </w:pPr>
            <w:r w:rsidRPr="001707CF">
              <w:rPr>
                <w:rFonts w:ascii="Tahoma" w:hAnsi="Tahoma" w:cs="Tahoma"/>
                <w:sz w:val="23"/>
                <w:szCs w:val="23"/>
              </w:rPr>
              <w:t>216.995</w:t>
            </w:r>
          </w:p>
        </w:tc>
      </w:tr>
      <w:tr w:rsidR="00C165F8" w:rsidRPr="001707CF" w14:paraId="016AAACC" w14:textId="77777777" w:rsidTr="008558ED">
        <w:trPr>
          <w:trHeight w:val="285"/>
          <w:jc w:val="center"/>
        </w:trPr>
        <w:tc>
          <w:tcPr>
            <w:tcW w:w="5085" w:type="dxa"/>
            <w:tcBorders>
              <w:top w:val="nil"/>
              <w:left w:val="nil"/>
              <w:bottom w:val="nil"/>
              <w:right w:val="nil"/>
            </w:tcBorders>
            <w:shd w:val="clear" w:color="auto" w:fill="auto"/>
            <w:noWrap/>
            <w:vAlign w:val="center"/>
            <w:hideMark/>
          </w:tcPr>
          <w:p w14:paraId="37FF0406" w14:textId="77777777" w:rsidR="00C165F8" w:rsidRPr="001707CF" w:rsidRDefault="00C165F8" w:rsidP="008558ED">
            <w:pPr>
              <w:rPr>
                <w:rFonts w:ascii="Tahoma" w:hAnsi="Tahoma" w:cs="Tahoma"/>
                <w:sz w:val="23"/>
                <w:szCs w:val="23"/>
              </w:rPr>
            </w:pPr>
            <w:proofErr w:type="spellStart"/>
            <w:r w:rsidRPr="001707CF">
              <w:rPr>
                <w:rFonts w:ascii="Tahoma" w:hAnsi="Tahoma" w:cs="Tahoma"/>
                <w:sz w:val="23"/>
                <w:szCs w:val="23"/>
              </w:rPr>
              <w:t>Troškovi</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kupovine</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i</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prodaje</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ulaganja</w:t>
            </w:r>
            <w:proofErr w:type="spellEnd"/>
          </w:p>
        </w:tc>
        <w:tc>
          <w:tcPr>
            <w:tcW w:w="1880" w:type="dxa"/>
            <w:tcBorders>
              <w:top w:val="nil"/>
              <w:left w:val="nil"/>
              <w:bottom w:val="nil"/>
              <w:right w:val="nil"/>
            </w:tcBorders>
            <w:vAlign w:val="center"/>
          </w:tcPr>
          <w:p w14:paraId="4D4A25A2" w14:textId="77777777" w:rsidR="00C165F8" w:rsidRPr="001707CF" w:rsidRDefault="00C165F8" w:rsidP="008558ED">
            <w:pPr>
              <w:jc w:val="right"/>
              <w:rPr>
                <w:rFonts w:ascii="Tahoma" w:hAnsi="Tahoma" w:cs="Tahoma"/>
                <w:sz w:val="23"/>
                <w:szCs w:val="23"/>
              </w:rPr>
            </w:pPr>
            <w:r>
              <w:rPr>
                <w:rFonts w:ascii="Tahoma" w:hAnsi="Tahoma" w:cs="Tahoma"/>
                <w:sz w:val="23"/>
                <w:szCs w:val="23"/>
              </w:rPr>
              <w:t>-</w:t>
            </w:r>
          </w:p>
        </w:tc>
        <w:tc>
          <w:tcPr>
            <w:tcW w:w="1880" w:type="dxa"/>
            <w:tcBorders>
              <w:top w:val="nil"/>
              <w:left w:val="nil"/>
              <w:bottom w:val="nil"/>
              <w:right w:val="nil"/>
            </w:tcBorders>
            <w:shd w:val="clear" w:color="auto" w:fill="auto"/>
            <w:noWrap/>
            <w:vAlign w:val="center"/>
          </w:tcPr>
          <w:p w14:paraId="30928E52" w14:textId="77777777" w:rsidR="00C165F8" w:rsidRPr="001707CF" w:rsidRDefault="00C165F8" w:rsidP="008558ED">
            <w:pPr>
              <w:jc w:val="right"/>
              <w:rPr>
                <w:rFonts w:ascii="Tahoma" w:hAnsi="Tahoma" w:cs="Tahoma"/>
                <w:sz w:val="23"/>
                <w:szCs w:val="23"/>
              </w:rPr>
            </w:pPr>
            <w:r w:rsidRPr="001707CF">
              <w:rPr>
                <w:rFonts w:ascii="Tahoma" w:hAnsi="Tahoma" w:cs="Tahoma"/>
                <w:sz w:val="23"/>
                <w:szCs w:val="23"/>
              </w:rPr>
              <w:t>556</w:t>
            </w:r>
          </w:p>
        </w:tc>
      </w:tr>
      <w:tr w:rsidR="00C165F8" w:rsidRPr="001707CF" w14:paraId="371C9B09" w14:textId="77777777" w:rsidTr="008558ED">
        <w:trPr>
          <w:trHeight w:val="285"/>
          <w:jc w:val="center"/>
        </w:trPr>
        <w:tc>
          <w:tcPr>
            <w:tcW w:w="5085" w:type="dxa"/>
            <w:tcBorders>
              <w:top w:val="nil"/>
              <w:left w:val="nil"/>
              <w:bottom w:val="nil"/>
              <w:right w:val="nil"/>
            </w:tcBorders>
            <w:shd w:val="clear" w:color="auto" w:fill="auto"/>
            <w:noWrap/>
            <w:vAlign w:val="center"/>
            <w:hideMark/>
          </w:tcPr>
          <w:p w14:paraId="742700C4" w14:textId="77777777" w:rsidR="00C165F8" w:rsidRPr="001707CF" w:rsidRDefault="00C165F8" w:rsidP="008558ED">
            <w:pPr>
              <w:rPr>
                <w:rFonts w:ascii="Tahoma" w:hAnsi="Tahoma" w:cs="Tahoma"/>
                <w:sz w:val="23"/>
                <w:szCs w:val="23"/>
              </w:rPr>
            </w:pPr>
            <w:proofErr w:type="spellStart"/>
            <w:r w:rsidRPr="001707CF">
              <w:rPr>
                <w:rFonts w:ascii="Tahoma" w:hAnsi="Tahoma" w:cs="Tahoma"/>
                <w:sz w:val="23"/>
                <w:szCs w:val="23"/>
              </w:rPr>
              <w:t>Naknada</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banci</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depozitaru</w:t>
            </w:r>
            <w:proofErr w:type="spellEnd"/>
          </w:p>
        </w:tc>
        <w:tc>
          <w:tcPr>
            <w:tcW w:w="1880" w:type="dxa"/>
            <w:tcBorders>
              <w:top w:val="nil"/>
              <w:left w:val="nil"/>
              <w:bottom w:val="nil"/>
              <w:right w:val="nil"/>
            </w:tcBorders>
            <w:vAlign w:val="center"/>
          </w:tcPr>
          <w:p w14:paraId="175542F0" w14:textId="77777777" w:rsidR="00C165F8" w:rsidRPr="001707CF" w:rsidRDefault="00C165F8" w:rsidP="008558ED">
            <w:pPr>
              <w:jc w:val="right"/>
              <w:rPr>
                <w:rFonts w:ascii="Tahoma" w:hAnsi="Tahoma" w:cs="Tahoma"/>
                <w:sz w:val="23"/>
                <w:szCs w:val="23"/>
              </w:rPr>
            </w:pPr>
            <w:r>
              <w:rPr>
                <w:rFonts w:ascii="Tahoma" w:hAnsi="Tahoma" w:cs="Tahoma"/>
                <w:sz w:val="23"/>
                <w:szCs w:val="23"/>
              </w:rPr>
              <w:t>-</w:t>
            </w:r>
          </w:p>
        </w:tc>
        <w:tc>
          <w:tcPr>
            <w:tcW w:w="1880" w:type="dxa"/>
            <w:tcBorders>
              <w:top w:val="nil"/>
              <w:left w:val="nil"/>
              <w:bottom w:val="nil"/>
              <w:right w:val="nil"/>
            </w:tcBorders>
            <w:shd w:val="clear" w:color="auto" w:fill="auto"/>
            <w:noWrap/>
            <w:vAlign w:val="center"/>
          </w:tcPr>
          <w:p w14:paraId="3CF5A736" w14:textId="77777777" w:rsidR="00C165F8" w:rsidRPr="001707CF" w:rsidRDefault="00C165F8" w:rsidP="008558ED">
            <w:pPr>
              <w:jc w:val="right"/>
              <w:rPr>
                <w:rFonts w:ascii="Tahoma" w:hAnsi="Tahoma" w:cs="Tahoma"/>
                <w:sz w:val="23"/>
                <w:szCs w:val="23"/>
              </w:rPr>
            </w:pPr>
            <w:r w:rsidRPr="001707CF">
              <w:rPr>
                <w:rFonts w:ascii="Tahoma" w:hAnsi="Tahoma" w:cs="Tahoma"/>
                <w:sz w:val="23"/>
                <w:szCs w:val="23"/>
              </w:rPr>
              <w:t>-</w:t>
            </w:r>
          </w:p>
        </w:tc>
      </w:tr>
      <w:tr w:rsidR="00C165F8" w:rsidRPr="001707CF" w14:paraId="64D32134" w14:textId="77777777" w:rsidTr="008558ED">
        <w:trPr>
          <w:trHeight w:val="300"/>
          <w:jc w:val="center"/>
        </w:trPr>
        <w:tc>
          <w:tcPr>
            <w:tcW w:w="5085" w:type="dxa"/>
            <w:tcBorders>
              <w:top w:val="nil"/>
              <w:left w:val="nil"/>
              <w:bottom w:val="nil"/>
              <w:right w:val="nil"/>
            </w:tcBorders>
            <w:shd w:val="clear" w:color="auto" w:fill="auto"/>
            <w:noWrap/>
            <w:vAlign w:val="center"/>
            <w:hideMark/>
          </w:tcPr>
          <w:p w14:paraId="5F7468A2" w14:textId="77777777" w:rsidR="00C165F8" w:rsidRPr="001707CF" w:rsidRDefault="00C165F8" w:rsidP="008558ED">
            <w:pPr>
              <w:rPr>
                <w:rFonts w:ascii="Tahoma" w:hAnsi="Tahoma" w:cs="Tahoma"/>
                <w:sz w:val="23"/>
                <w:szCs w:val="23"/>
              </w:rPr>
            </w:pPr>
            <w:proofErr w:type="spellStart"/>
            <w:r w:rsidRPr="001707CF">
              <w:rPr>
                <w:rFonts w:ascii="Tahoma" w:hAnsi="Tahoma" w:cs="Tahoma"/>
                <w:sz w:val="23"/>
                <w:szCs w:val="23"/>
              </w:rPr>
              <w:t>Ostali</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poslovni</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rashodi</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fonda</w:t>
            </w:r>
            <w:proofErr w:type="spellEnd"/>
          </w:p>
        </w:tc>
        <w:tc>
          <w:tcPr>
            <w:tcW w:w="1880" w:type="dxa"/>
            <w:tcBorders>
              <w:top w:val="nil"/>
              <w:left w:val="nil"/>
              <w:bottom w:val="double" w:sz="6" w:space="0" w:color="auto"/>
              <w:right w:val="nil"/>
            </w:tcBorders>
            <w:vAlign w:val="center"/>
          </w:tcPr>
          <w:p w14:paraId="0FDEE9D1" w14:textId="77777777" w:rsidR="00C165F8" w:rsidRPr="001707CF" w:rsidRDefault="00C165F8" w:rsidP="008558ED">
            <w:pPr>
              <w:jc w:val="right"/>
              <w:rPr>
                <w:rFonts w:ascii="Tahoma" w:hAnsi="Tahoma" w:cs="Tahoma"/>
                <w:sz w:val="23"/>
                <w:szCs w:val="23"/>
              </w:rPr>
            </w:pPr>
            <w:r>
              <w:rPr>
                <w:rFonts w:ascii="Tahoma" w:hAnsi="Tahoma" w:cs="Tahoma"/>
                <w:sz w:val="23"/>
                <w:szCs w:val="23"/>
              </w:rPr>
              <w:t>-</w:t>
            </w:r>
          </w:p>
        </w:tc>
        <w:tc>
          <w:tcPr>
            <w:tcW w:w="1880" w:type="dxa"/>
            <w:tcBorders>
              <w:top w:val="nil"/>
              <w:left w:val="nil"/>
              <w:bottom w:val="double" w:sz="6" w:space="0" w:color="auto"/>
              <w:right w:val="nil"/>
            </w:tcBorders>
            <w:shd w:val="clear" w:color="auto" w:fill="auto"/>
            <w:noWrap/>
            <w:vAlign w:val="center"/>
          </w:tcPr>
          <w:p w14:paraId="75BCBE08" w14:textId="77777777" w:rsidR="00C165F8" w:rsidRPr="001707CF" w:rsidRDefault="00C165F8" w:rsidP="008558ED">
            <w:pPr>
              <w:jc w:val="right"/>
              <w:rPr>
                <w:rFonts w:ascii="Tahoma" w:hAnsi="Tahoma" w:cs="Tahoma"/>
                <w:sz w:val="23"/>
                <w:szCs w:val="23"/>
              </w:rPr>
            </w:pPr>
            <w:r w:rsidRPr="001707CF">
              <w:rPr>
                <w:rFonts w:ascii="Tahoma" w:hAnsi="Tahoma" w:cs="Tahoma"/>
                <w:sz w:val="23"/>
                <w:szCs w:val="23"/>
              </w:rPr>
              <w:t>-</w:t>
            </w:r>
          </w:p>
        </w:tc>
      </w:tr>
      <w:tr w:rsidR="00C165F8" w:rsidRPr="001707CF" w14:paraId="7BD3D3D8" w14:textId="77777777" w:rsidTr="008558ED">
        <w:trPr>
          <w:trHeight w:val="300"/>
          <w:jc w:val="center"/>
        </w:trPr>
        <w:tc>
          <w:tcPr>
            <w:tcW w:w="5085" w:type="dxa"/>
            <w:tcBorders>
              <w:top w:val="nil"/>
              <w:left w:val="nil"/>
              <w:bottom w:val="single" w:sz="4" w:space="0" w:color="auto"/>
              <w:right w:val="nil"/>
            </w:tcBorders>
            <w:shd w:val="clear" w:color="auto" w:fill="auto"/>
            <w:noWrap/>
            <w:vAlign w:val="center"/>
            <w:hideMark/>
          </w:tcPr>
          <w:p w14:paraId="12ADC21A" w14:textId="77777777" w:rsidR="00C165F8" w:rsidRPr="001707CF" w:rsidRDefault="00C165F8" w:rsidP="008558ED">
            <w:pPr>
              <w:rPr>
                <w:rFonts w:ascii="Tahoma" w:hAnsi="Tahoma" w:cs="Tahoma"/>
                <w:b/>
                <w:bCs/>
                <w:sz w:val="23"/>
                <w:szCs w:val="23"/>
              </w:rPr>
            </w:pPr>
            <w:proofErr w:type="spellStart"/>
            <w:r w:rsidRPr="001707CF">
              <w:rPr>
                <w:rFonts w:ascii="Tahoma" w:hAnsi="Tahoma" w:cs="Tahoma"/>
                <w:b/>
                <w:bCs/>
                <w:sz w:val="23"/>
                <w:szCs w:val="23"/>
              </w:rPr>
              <w:t>Ukupno</w:t>
            </w:r>
            <w:proofErr w:type="spellEnd"/>
            <w:r w:rsidRPr="001707CF">
              <w:rPr>
                <w:rFonts w:ascii="Tahoma" w:hAnsi="Tahoma" w:cs="Tahoma"/>
                <w:b/>
                <w:bCs/>
                <w:sz w:val="23"/>
                <w:szCs w:val="23"/>
              </w:rPr>
              <w:t xml:space="preserve"> </w:t>
            </w:r>
            <w:proofErr w:type="spellStart"/>
            <w:r w:rsidRPr="001707CF">
              <w:rPr>
                <w:rFonts w:ascii="Tahoma" w:hAnsi="Tahoma" w:cs="Tahoma"/>
                <w:b/>
                <w:bCs/>
                <w:sz w:val="23"/>
                <w:szCs w:val="23"/>
              </w:rPr>
              <w:t>poslovni</w:t>
            </w:r>
            <w:proofErr w:type="spellEnd"/>
            <w:r w:rsidRPr="001707CF">
              <w:rPr>
                <w:rFonts w:ascii="Tahoma" w:hAnsi="Tahoma" w:cs="Tahoma"/>
                <w:b/>
                <w:bCs/>
                <w:sz w:val="23"/>
                <w:szCs w:val="23"/>
              </w:rPr>
              <w:t xml:space="preserve"> </w:t>
            </w:r>
            <w:proofErr w:type="spellStart"/>
            <w:r w:rsidRPr="001707CF">
              <w:rPr>
                <w:rFonts w:ascii="Tahoma" w:hAnsi="Tahoma" w:cs="Tahoma"/>
                <w:b/>
                <w:bCs/>
                <w:sz w:val="23"/>
                <w:szCs w:val="23"/>
              </w:rPr>
              <w:t>rashodi</w:t>
            </w:r>
            <w:proofErr w:type="spellEnd"/>
          </w:p>
        </w:tc>
        <w:tc>
          <w:tcPr>
            <w:tcW w:w="1880" w:type="dxa"/>
            <w:tcBorders>
              <w:top w:val="nil"/>
              <w:left w:val="nil"/>
              <w:bottom w:val="single" w:sz="4" w:space="0" w:color="auto"/>
              <w:right w:val="nil"/>
            </w:tcBorders>
            <w:vAlign w:val="center"/>
          </w:tcPr>
          <w:p w14:paraId="2EFC1CBD" w14:textId="77777777" w:rsidR="00C165F8" w:rsidRPr="001707CF" w:rsidRDefault="00C165F8" w:rsidP="008558ED">
            <w:pPr>
              <w:jc w:val="right"/>
              <w:rPr>
                <w:rFonts w:ascii="Tahoma" w:hAnsi="Tahoma" w:cs="Tahoma"/>
                <w:b/>
                <w:bCs/>
                <w:sz w:val="23"/>
                <w:szCs w:val="23"/>
              </w:rPr>
            </w:pPr>
            <w:r>
              <w:rPr>
                <w:rFonts w:ascii="Tahoma" w:hAnsi="Tahoma" w:cs="Tahoma"/>
                <w:b/>
                <w:bCs/>
                <w:sz w:val="23"/>
                <w:szCs w:val="23"/>
              </w:rPr>
              <w:t>228.107</w:t>
            </w:r>
          </w:p>
        </w:tc>
        <w:tc>
          <w:tcPr>
            <w:tcW w:w="1880" w:type="dxa"/>
            <w:tcBorders>
              <w:top w:val="nil"/>
              <w:left w:val="nil"/>
              <w:bottom w:val="single" w:sz="4" w:space="0" w:color="auto"/>
              <w:right w:val="nil"/>
            </w:tcBorders>
            <w:shd w:val="clear" w:color="auto" w:fill="auto"/>
            <w:noWrap/>
            <w:vAlign w:val="center"/>
          </w:tcPr>
          <w:p w14:paraId="18E74878" w14:textId="77777777" w:rsidR="00C165F8" w:rsidRPr="001707CF" w:rsidRDefault="00C165F8" w:rsidP="008558ED">
            <w:pPr>
              <w:jc w:val="right"/>
              <w:rPr>
                <w:rFonts w:ascii="Tahoma" w:hAnsi="Tahoma" w:cs="Tahoma"/>
                <w:b/>
                <w:bCs/>
                <w:sz w:val="23"/>
                <w:szCs w:val="23"/>
              </w:rPr>
            </w:pPr>
            <w:r w:rsidRPr="001707CF">
              <w:rPr>
                <w:rFonts w:ascii="Tahoma" w:hAnsi="Tahoma" w:cs="Tahoma"/>
                <w:b/>
                <w:bCs/>
                <w:sz w:val="23"/>
                <w:szCs w:val="23"/>
              </w:rPr>
              <w:t>217.531</w:t>
            </w:r>
          </w:p>
        </w:tc>
      </w:tr>
    </w:tbl>
    <w:p w14:paraId="087304C7" w14:textId="77777777" w:rsidR="00C165F8" w:rsidRPr="001707CF" w:rsidRDefault="00C165F8" w:rsidP="00C165F8">
      <w:pPr>
        <w:spacing w:after="120"/>
        <w:ind w:right="993"/>
        <w:jc w:val="right"/>
        <w:rPr>
          <w:rFonts w:ascii="Tahoma" w:hAnsi="Tahoma" w:cs="Tahoma"/>
          <w:i/>
          <w:sz w:val="23"/>
          <w:szCs w:val="23"/>
          <w:lang w:val="sr-Latn-BA"/>
        </w:rPr>
      </w:pPr>
    </w:p>
    <w:p w14:paraId="3F8AEAC9" w14:textId="77777777" w:rsidR="00C165F8" w:rsidRPr="001707CF" w:rsidRDefault="00C165F8" w:rsidP="00C165F8">
      <w:pPr>
        <w:suppressAutoHyphens/>
        <w:jc w:val="both"/>
        <w:rPr>
          <w:rFonts w:ascii="Tahoma" w:hAnsi="Tahoma" w:cs="Tahoma"/>
          <w:sz w:val="23"/>
          <w:szCs w:val="23"/>
          <w:lang w:val="sr-Latn-CS" w:eastAsia="ar-SA"/>
        </w:rPr>
      </w:pPr>
      <w:r w:rsidRPr="001707CF">
        <w:rPr>
          <w:rFonts w:ascii="Tahoma" w:hAnsi="Tahoma" w:cs="Tahoma"/>
          <w:sz w:val="23"/>
          <w:szCs w:val="23"/>
          <w:lang w:val="sr-Latn-BA"/>
        </w:rPr>
        <w:t xml:space="preserve">Naknada društvu za upravljanje </w:t>
      </w:r>
      <w:r w:rsidRPr="001707CF">
        <w:rPr>
          <w:rFonts w:ascii="Tahoma" w:hAnsi="Tahoma" w:cs="Tahoma"/>
          <w:sz w:val="23"/>
          <w:szCs w:val="23"/>
          <w:lang w:val="sr-Latn-CS"/>
        </w:rPr>
        <w:t xml:space="preserve">se </w:t>
      </w:r>
      <w:r w:rsidRPr="001707CF">
        <w:rPr>
          <w:rFonts w:ascii="Tahoma" w:hAnsi="Tahoma" w:cs="Tahoma"/>
          <w:sz w:val="23"/>
          <w:szCs w:val="23"/>
          <w:lang w:val="sr-Latn-BA" w:eastAsia="ar-SA"/>
        </w:rPr>
        <w:t xml:space="preserve">obračunava svakog dana po godišnjoj stopi od 3,5% </w:t>
      </w:r>
      <w:r w:rsidRPr="001707CF">
        <w:rPr>
          <w:rFonts w:ascii="Tahoma" w:hAnsi="Tahoma" w:cs="Tahoma"/>
          <w:sz w:val="23"/>
          <w:szCs w:val="23"/>
          <w:lang w:val="sr-Latn-CS" w:eastAsia="ar-SA"/>
        </w:rPr>
        <w:t>na neto vrijednost imovine fonda što je regulisanano Prospektom fonda i Zakonom o investicionim fondovima.</w:t>
      </w:r>
    </w:p>
    <w:p w14:paraId="4F5DE61A" w14:textId="77777777" w:rsidR="00C165F8" w:rsidRPr="001707CF" w:rsidRDefault="00C165F8" w:rsidP="00C165F8">
      <w:pPr>
        <w:suppressAutoHyphens/>
        <w:jc w:val="both"/>
        <w:rPr>
          <w:rFonts w:ascii="Tahoma" w:hAnsi="Tahoma" w:cs="Tahoma"/>
          <w:sz w:val="23"/>
          <w:szCs w:val="23"/>
          <w:lang w:val="sr-Latn-CS" w:eastAsia="ar-SA"/>
        </w:rPr>
      </w:pPr>
    </w:p>
    <w:p w14:paraId="60515F6A" w14:textId="77777777" w:rsidR="00C165F8" w:rsidRPr="001707CF" w:rsidRDefault="00C165F8" w:rsidP="00C165F8">
      <w:pPr>
        <w:pStyle w:val="ListParagraph"/>
        <w:numPr>
          <w:ilvl w:val="0"/>
          <w:numId w:val="22"/>
        </w:numPr>
        <w:spacing w:after="120"/>
        <w:jc w:val="both"/>
        <w:rPr>
          <w:rFonts w:ascii="Tahoma" w:hAnsi="Tahoma" w:cs="Tahoma"/>
          <w:b/>
          <w:sz w:val="23"/>
          <w:szCs w:val="23"/>
          <w:lang w:val="sr-Latn-BA"/>
        </w:rPr>
      </w:pPr>
      <w:r w:rsidRPr="001707CF">
        <w:rPr>
          <w:rFonts w:ascii="Tahoma" w:hAnsi="Tahoma" w:cs="Tahoma"/>
          <w:b/>
          <w:sz w:val="23"/>
          <w:szCs w:val="23"/>
          <w:lang w:val="sr-Latn-BA"/>
        </w:rPr>
        <w:t>REALIZOVANI DOBITAK I GUBITAK</w:t>
      </w:r>
    </w:p>
    <w:p w14:paraId="2CC65BE5" w14:textId="77777777" w:rsidR="00C165F8" w:rsidRPr="001707CF" w:rsidRDefault="00C165F8" w:rsidP="00C165F8">
      <w:pPr>
        <w:spacing w:after="120"/>
        <w:ind w:right="1"/>
        <w:jc w:val="right"/>
        <w:rPr>
          <w:rFonts w:ascii="Tahoma" w:hAnsi="Tahoma" w:cs="Tahoma"/>
          <w:i/>
          <w:sz w:val="23"/>
          <w:szCs w:val="23"/>
          <w:lang w:val="sr-Latn-BA"/>
        </w:rPr>
      </w:pPr>
      <w:r w:rsidRPr="001707CF">
        <w:rPr>
          <w:rFonts w:ascii="Tahoma" w:hAnsi="Tahoma" w:cs="Tahoma"/>
          <w:i/>
          <w:sz w:val="23"/>
          <w:szCs w:val="23"/>
          <w:lang w:val="sr-Latn-BA"/>
        </w:rPr>
        <w:t>(u KM)</w:t>
      </w:r>
    </w:p>
    <w:tbl>
      <w:tblPr>
        <w:tblW w:w="9002" w:type="dxa"/>
        <w:jc w:val="center"/>
        <w:tblLook w:val="04A0" w:firstRow="1" w:lastRow="0" w:firstColumn="1" w:lastColumn="0" w:noHBand="0" w:noVBand="1"/>
      </w:tblPr>
      <w:tblGrid>
        <w:gridCol w:w="4962"/>
        <w:gridCol w:w="2020"/>
        <w:gridCol w:w="2020"/>
      </w:tblGrid>
      <w:tr w:rsidR="00C165F8" w:rsidRPr="001707CF" w14:paraId="3EAB5D05" w14:textId="77777777" w:rsidTr="008558ED">
        <w:trPr>
          <w:trHeight w:val="424"/>
          <w:jc w:val="center"/>
        </w:trPr>
        <w:tc>
          <w:tcPr>
            <w:tcW w:w="4962" w:type="dxa"/>
            <w:tcBorders>
              <w:top w:val="single" w:sz="4" w:space="0" w:color="auto"/>
              <w:left w:val="nil"/>
              <w:bottom w:val="single" w:sz="4" w:space="0" w:color="auto"/>
              <w:right w:val="nil"/>
            </w:tcBorders>
            <w:shd w:val="clear" w:color="auto" w:fill="auto"/>
            <w:vAlign w:val="center"/>
            <w:hideMark/>
          </w:tcPr>
          <w:p w14:paraId="50C039BB" w14:textId="77777777" w:rsidR="00C165F8" w:rsidRPr="001707CF" w:rsidRDefault="00C165F8" w:rsidP="008558ED">
            <w:pPr>
              <w:jc w:val="center"/>
              <w:rPr>
                <w:rFonts w:ascii="Tahoma" w:hAnsi="Tahoma" w:cs="Tahoma"/>
                <w:i/>
                <w:iCs/>
                <w:sz w:val="23"/>
                <w:szCs w:val="23"/>
                <w:lang w:val="sr-Latn-BA" w:eastAsia="sr-Latn-BA"/>
              </w:rPr>
            </w:pPr>
            <w:proofErr w:type="spellStart"/>
            <w:r w:rsidRPr="001707CF">
              <w:rPr>
                <w:rFonts w:ascii="Tahoma" w:hAnsi="Tahoma" w:cs="Tahoma"/>
                <w:i/>
                <w:iCs/>
                <w:sz w:val="23"/>
                <w:szCs w:val="23"/>
              </w:rPr>
              <w:t>Opis</w:t>
            </w:r>
            <w:proofErr w:type="spellEnd"/>
          </w:p>
        </w:tc>
        <w:tc>
          <w:tcPr>
            <w:tcW w:w="2020" w:type="dxa"/>
            <w:tcBorders>
              <w:top w:val="single" w:sz="4" w:space="0" w:color="auto"/>
              <w:left w:val="nil"/>
              <w:bottom w:val="single" w:sz="4" w:space="0" w:color="auto"/>
              <w:right w:val="nil"/>
            </w:tcBorders>
            <w:shd w:val="clear" w:color="auto" w:fill="auto"/>
            <w:noWrap/>
            <w:vAlign w:val="center"/>
            <w:hideMark/>
          </w:tcPr>
          <w:p w14:paraId="79739718" w14:textId="77777777" w:rsidR="00C165F8" w:rsidRPr="001707CF" w:rsidRDefault="00C165F8" w:rsidP="008558ED">
            <w:pPr>
              <w:jc w:val="center"/>
              <w:rPr>
                <w:rFonts w:ascii="Tahoma" w:hAnsi="Tahoma" w:cs="Tahoma"/>
                <w:i/>
                <w:iCs/>
                <w:sz w:val="23"/>
                <w:szCs w:val="23"/>
              </w:rPr>
            </w:pPr>
            <w:r>
              <w:rPr>
                <w:rFonts w:ascii="Tahoma" w:hAnsi="Tahoma" w:cs="Tahoma"/>
                <w:i/>
                <w:iCs/>
                <w:sz w:val="23"/>
                <w:szCs w:val="23"/>
              </w:rPr>
              <w:t>2024</w:t>
            </w:r>
            <w:r w:rsidRPr="001707CF">
              <w:rPr>
                <w:rFonts w:ascii="Tahoma" w:hAnsi="Tahoma" w:cs="Tahoma"/>
                <w:i/>
                <w:iCs/>
                <w:sz w:val="23"/>
                <w:szCs w:val="23"/>
              </w:rPr>
              <w:t>.</w:t>
            </w:r>
          </w:p>
        </w:tc>
        <w:tc>
          <w:tcPr>
            <w:tcW w:w="2020" w:type="dxa"/>
            <w:tcBorders>
              <w:top w:val="single" w:sz="4" w:space="0" w:color="auto"/>
              <w:left w:val="nil"/>
              <w:bottom w:val="single" w:sz="4" w:space="0" w:color="auto"/>
              <w:right w:val="nil"/>
            </w:tcBorders>
            <w:shd w:val="clear" w:color="auto" w:fill="auto"/>
            <w:noWrap/>
            <w:vAlign w:val="center"/>
            <w:hideMark/>
          </w:tcPr>
          <w:p w14:paraId="62785D97" w14:textId="77777777" w:rsidR="00C165F8" w:rsidRPr="001707CF" w:rsidRDefault="00C165F8" w:rsidP="008558ED">
            <w:pPr>
              <w:jc w:val="center"/>
              <w:rPr>
                <w:rFonts w:ascii="Tahoma" w:hAnsi="Tahoma" w:cs="Tahoma"/>
                <w:i/>
                <w:iCs/>
                <w:sz w:val="23"/>
                <w:szCs w:val="23"/>
              </w:rPr>
            </w:pPr>
            <w:r>
              <w:rPr>
                <w:rFonts w:ascii="Tahoma" w:hAnsi="Tahoma" w:cs="Tahoma"/>
                <w:i/>
                <w:iCs/>
                <w:sz w:val="23"/>
                <w:szCs w:val="23"/>
              </w:rPr>
              <w:t>2023</w:t>
            </w:r>
            <w:r w:rsidRPr="001707CF">
              <w:rPr>
                <w:rFonts w:ascii="Tahoma" w:hAnsi="Tahoma" w:cs="Tahoma"/>
                <w:i/>
                <w:iCs/>
                <w:sz w:val="23"/>
                <w:szCs w:val="23"/>
              </w:rPr>
              <w:t>.</w:t>
            </w:r>
          </w:p>
        </w:tc>
      </w:tr>
      <w:tr w:rsidR="00C165F8" w:rsidRPr="001707CF" w14:paraId="71FF8BBC" w14:textId="77777777" w:rsidTr="008558ED">
        <w:trPr>
          <w:trHeight w:val="315"/>
          <w:jc w:val="center"/>
        </w:trPr>
        <w:tc>
          <w:tcPr>
            <w:tcW w:w="4962" w:type="dxa"/>
            <w:tcBorders>
              <w:top w:val="nil"/>
              <w:left w:val="nil"/>
              <w:bottom w:val="nil"/>
              <w:right w:val="nil"/>
            </w:tcBorders>
            <w:shd w:val="clear" w:color="auto" w:fill="auto"/>
            <w:vAlign w:val="center"/>
            <w:hideMark/>
          </w:tcPr>
          <w:p w14:paraId="4F1C69A0" w14:textId="77777777" w:rsidR="00C165F8" w:rsidRPr="001707CF" w:rsidRDefault="00C165F8" w:rsidP="008558ED">
            <w:pPr>
              <w:rPr>
                <w:rFonts w:ascii="Tahoma" w:hAnsi="Tahoma" w:cs="Tahoma"/>
                <w:sz w:val="23"/>
                <w:szCs w:val="23"/>
              </w:rPr>
            </w:pPr>
            <w:proofErr w:type="spellStart"/>
            <w:r w:rsidRPr="001707CF">
              <w:rPr>
                <w:rFonts w:ascii="Tahoma" w:hAnsi="Tahoma" w:cs="Tahoma"/>
                <w:sz w:val="23"/>
                <w:szCs w:val="23"/>
              </w:rPr>
              <w:t>Poslovni</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prihodi</w:t>
            </w:r>
            <w:proofErr w:type="spellEnd"/>
          </w:p>
        </w:tc>
        <w:tc>
          <w:tcPr>
            <w:tcW w:w="2020" w:type="dxa"/>
            <w:tcBorders>
              <w:top w:val="nil"/>
              <w:left w:val="nil"/>
              <w:bottom w:val="nil"/>
              <w:right w:val="nil"/>
            </w:tcBorders>
            <w:shd w:val="clear" w:color="auto" w:fill="auto"/>
            <w:noWrap/>
            <w:vAlign w:val="bottom"/>
          </w:tcPr>
          <w:p w14:paraId="100CECAE" w14:textId="77777777" w:rsidR="00C165F8" w:rsidRPr="001707CF" w:rsidRDefault="00C165F8" w:rsidP="008558ED">
            <w:pPr>
              <w:jc w:val="right"/>
              <w:rPr>
                <w:rFonts w:ascii="Tahoma" w:hAnsi="Tahoma" w:cs="Tahoma"/>
                <w:sz w:val="23"/>
                <w:szCs w:val="23"/>
              </w:rPr>
            </w:pPr>
            <w:r>
              <w:rPr>
                <w:rFonts w:ascii="Tahoma" w:hAnsi="Tahoma" w:cs="Tahoma"/>
                <w:sz w:val="23"/>
                <w:szCs w:val="23"/>
              </w:rPr>
              <w:t>64.915</w:t>
            </w:r>
          </w:p>
        </w:tc>
        <w:tc>
          <w:tcPr>
            <w:tcW w:w="2020" w:type="dxa"/>
            <w:tcBorders>
              <w:top w:val="nil"/>
              <w:left w:val="nil"/>
              <w:bottom w:val="nil"/>
              <w:right w:val="nil"/>
            </w:tcBorders>
            <w:shd w:val="clear" w:color="auto" w:fill="auto"/>
            <w:noWrap/>
            <w:vAlign w:val="bottom"/>
          </w:tcPr>
          <w:p w14:paraId="5AE0829C" w14:textId="77777777" w:rsidR="00C165F8" w:rsidRPr="001707CF" w:rsidRDefault="00C165F8" w:rsidP="008558ED">
            <w:pPr>
              <w:jc w:val="right"/>
              <w:rPr>
                <w:rFonts w:ascii="Tahoma" w:hAnsi="Tahoma" w:cs="Tahoma"/>
                <w:sz w:val="23"/>
                <w:szCs w:val="23"/>
              </w:rPr>
            </w:pPr>
            <w:r w:rsidRPr="001707CF">
              <w:rPr>
                <w:rFonts w:ascii="Tahoma" w:hAnsi="Tahoma" w:cs="Tahoma"/>
                <w:sz w:val="23"/>
                <w:szCs w:val="23"/>
              </w:rPr>
              <w:t>212.281</w:t>
            </w:r>
          </w:p>
        </w:tc>
      </w:tr>
      <w:tr w:rsidR="00C165F8" w:rsidRPr="001707CF" w14:paraId="1A6ACEFC" w14:textId="77777777" w:rsidTr="008558ED">
        <w:trPr>
          <w:trHeight w:val="285"/>
          <w:jc w:val="center"/>
        </w:trPr>
        <w:tc>
          <w:tcPr>
            <w:tcW w:w="4962" w:type="dxa"/>
            <w:tcBorders>
              <w:top w:val="nil"/>
              <w:left w:val="nil"/>
              <w:bottom w:val="nil"/>
              <w:right w:val="nil"/>
            </w:tcBorders>
            <w:shd w:val="clear" w:color="auto" w:fill="auto"/>
            <w:noWrap/>
            <w:vAlign w:val="center"/>
            <w:hideMark/>
          </w:tcPr>
          <w:p w14:paraId="73A0AF2B" w14:textId="77777777" w:rsidR="00C165F8" w:rsidRPr="001707CF" w:rsidRDefault="00C165F8" w:rsidP="008558ED">
            <w:pPr>
              <w:rPr>
                <w:rFonts w:ascii="Tahoma" w:hAnsi="Tahoma" w:cs="Tahoma"/>
                <w:sz w:val="23"/>
                <w:szCs w:val="23"/>
              </w:rPr>
            </w:pPr>
            <w:proofErr w:type="spellStart"/>
            <w:r w:rsidRPr="001707CF">
              <w:rPr>
                <w:rFonts w:ascii="Tahoma" w:hAnsi="Tahoma" w:cs="Tahoma"/>
                <w:sz w:val="23"/>
                <w:szCs w:val="23"/>
              </w:rPr>
              <w:t>Realizovani</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dobitak</w:t>
            </w:r>
            <w:proofErr w:type="spellEnd"/>
          </w:p>
        </w:tc>
        <w:tc>
          <w:tcPr>
            <w:tcW w:w="2020" w:type="dxa"/>
            <w:tcBorders>
              <w:top w:val="nil"/>
              <w:left w:val="nil"/>
              <w:bottom w:val="nil"/>
              <w:right w:val="nil"/>
            </w:tcBorders>
            <w:shd w:val="clear" w:color="auto" w:fill="auto"/>
            <w:noWrap/>
            <w:vAlign w:val="center"/>
          </w:tcPr>
          <w:p w14:paraId="766CF8D5" w14:textId="77777777" w:rsidR="00C165F8" w:rsidRPr="001707CF" w:rsidRDefault="00C165F8" w:rsidP="008558ED">
            <w:pPr>
              <w:jc w:val="right"/>
              <w:rPr>
                <w:rFonts w:ascii="Tahoma" w:hAnsi="Tahoma" w:cs="Tahoma"/>
                <w:sz w:val="23"/>
                <w:szCs w:val="23"/>
              </w:rPr>
            </w:pPr>
            <w:r>
              <w:rPr>
                <w:rFonts w:ascii="Tahoma" w:hAnsi="Tahoma" w:cs="Tahoma"/>
                <w:sz w:val="23"/>
                <w:szCs w:val="23"/>
              </w:rPr>
              <w:t>-</w:t>
            </w:r>
          </w:p>
        </w:tc>
        <w:tc>
          <w:tcPr>
            <w:tcW w:w="2020" w:type="dxa"/>
            <w:tcBorders>
              <w:top w:val="nil"/>
              <w:left w:val="nil"/>
              <w:bottom w:val="nil"/>
              <w:right w:val="nil"/>
            </w:tcBorders>
            <w:shd w:val="clear" w:color="auto" w:fill="auto"/>
            <w:noWrap/>
            <w:vAlign w:val="center"/>
          </w:tcPr>
          <w:p w14:paraId="4D92F917" w14:textId="77777777" w:rsidR="00C165F8" w:rsidRPr="001707CF" w:rsidRDefault="00C165F8" w:rsidP="008558ED">
            <w:pPr>
              <w:jc w:val="right"/>
              <w:rPr>
                <w:rFonts w:ascii="Tahoma" w:hAnsi="Tahoma" w:cs="Tahoma"/>
                <w:sz w:val="23"/>
                <w:szCs w:val="23"/>
              </w:rPr>
            </w:pPr>
            <w:r w:rsidRPr="001707CF">
              <w:rPr>
                <w:rFonts w:ascii="Tahoma" w:hAnsi="Tahoma" w:cs="Tahoma"/>
                <w:sz w:val="23"/>
                <w:szCs w:val="23"/>
              </w:rPr>
              <w:t>-</w:t>
            </w:r>
          </w:p>
        </w:tc>
      </w:tr>
      <w:tr w:rsidR="00C165F8" w:rsidRPr="001707CF" w14:paraId="5811F26A" w14:textId="77777777" w:rsidTr="008558ED">
        <w:trPr>
          <w:trHeight w:val="285"/>
          <w:jc w:val="center"/>
        </w:trPr>
        <w:tc>
          <w:tcPr>
            <w:tcW w:w="4962" w:type="dxa"/>
            <w:tcBorders>
              <w:top w:val="nil"/>
              <w:left w:val="nil"/>
              <w:bottom w:val="nil"/>
              <w:right w:val="nil"/>
            </w:tcBorders>
            <w:shd w:val="clear" w:color="auto" w:fill="auto"/>
            <w:noWrap/>
            <w:vAlign w:val="center"/>
            <w:hideMark/>
          </w:tcPr>
          <w:p w14:paraId="0E93550B" w14:textId="77777777" w:rsidR="00C165F8" w:rsidRPr="001707CF" w:rsidRDefault="00C165F8" w:rsidP="008558ED">
            <w:pPr>
              <w:rPr>
                <w:rFonts w:ascii="Tahoma" w:hAnsi="Tahoma" w:cs="Tahoma"/>
                <w:sz w:val="23"/>
                <w:szCs w:val="23"/>
              </w:rPr>
            </w:pPr>
            <w:proofErr w:type="spellStart"/>
            <w:r w:rsidRPr="001707CF">
              <w:rPr>
                <w:rFonts w:ascii="Tahoma" w:hAnsi="Tahoma" w:cs="Tahoma"/>
                <w:sz w:val="23"/>
                <w:szCs w:val="23"/>
              </w:rPr>
              <w:t>Finansijski</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prihodi</w:t>
            </w:r>
            <w:proofErr w:type="spellEnd"/>
          </w:p>
        </w:tc>
        <w:tc>
          <w:tcPr>
            <w:tcW w:w="2020" w:type="dxa"/>
            <w:tcBorders>
              <w:top w:val="nil"/>
              <w:left w:val="nil"/>
              <w:bottom w:val="nil"/>
              <w:right w:val="nil"/>
            </w:tcBorders>
            <w:shd w:val="clear" w:color="auto" w:fill="auto"/>
            <w:noWrap/>
            <w:vAlign w:val="center"/>
          </w:tcPr>
          <w:p w14:paraId="45324303" w14:textId="77777777" w:rsidR="00C165F8" w:rsidRPr="001707CF" w:rsidRDefault="00C165F8" w:rsidP="008558ED">
            <w:pPr>
              <w:jc w:val="right"/>
              <w:rPr>
                <w:rFonts w:ascii="Tahoma" w:hAnsi="Tahoma" w:cs="Tahoma"/>
                <w:sz w:val="23"/>
                <w:szCs w:val="23"/>
              </w:rPr>
            </w:pPr>
            <w:r>
              <w:rPr>
                <w:rFonts w:ascii="Tahoma" w:hAnsi="Tahoma" w:cs="Tahoma"/>
                <w:sz w:val="23"/>
                <w:szCs w:val="23"/>
              </w:rPr>
              <w:t>-</w:t>
            </w:r>
          </w:p>
        </w:tc>
        <w:tc>
          <w:tcPr>
            <w:tcW w:w="2020" w:type="dxa"/>
            <w:tcBorders>
              <w:top w:val="nil"/>
              <w:left w:val="nil"/>
              <w:bottom w:val="nil"/>
              <w:right w:val="nil"/>
            </w:tcBorders>
            <w:shd w:val="clear" w:color="auto" w:fill="auto"/>
            <w:noWrap/>
            <w:vAlign w:val="center"/>
          </w:tcPr>
          <w:p w14:paraId="3441B6E3" w14:textId="77777777" w:rsidR="00C165F8" w:rsidRPr="001707CF" w:rsidRDefault="00C165F8" w:rsidP="008558ED">
            <w:pPr>
              <w:jc w:val="right"/>
              <w:rPr>
                <w:rFonts w:ascii="Tahoma" w:hAnsi="Tahoma" w:cs="Tahoma"/>
                <w:sz w:val="23"/>
                <w:szCs w:val="23"/>
              </w:rPr>
            </w:pPr>
            <w:r w:rsidRPr="001707CF">
              <w:rPr>
                <w:rFonts w:ascii="Tahoma" w:hAnsi="Tahoma" w:cs="Tahoma"/>
                <w:sz w:val="23"/>
                <w:szCs w:val="23"/>
              </w:rPr>
              <w:t>-</w:t>
            </w:r>
          </w:p>
        </w:tc>
      </w:tr>
      <w:tr w:rsidR="00C165F8" w:rsidRPr="001707CF" w14:paraId="59579FAB" w14:textId="77777777" w:rsidTr="008558ED">
        <w:trPr>
          <w:trHeight w:val="285"/>
          <w:jc w:val="center"/>
        </w:trPr>
        <w:tc>
          <w:tcPr>
            <w:tcW w:w="4962" w:type="dxa"/>
            <w:tcBorders>
              <w:top w:val="nil"/>
              <w:left w:val="nil"/>
              <w:bottom w:val="nil"/>
              <w:right w:val="nil"/>
            </w:tcBorders>
            <w:shd w:val="clear" w:color="auto" w:fill="auto"/>
            <w:noWrap/>
            <w:vAlign w:val="center"/>
            <w:hideMark/>
          </w:tcPr>
          <w:p w14:paraId="438D9F14" w14:textId="77777777" w:rsidR="00C165F8" w:rsidRPr="001707CF" w:rsidRDefault="00C165F8" w:rsidP="008558ED">
            <w:pPr>
              <w:rPr>
                <w:rFonts w:ascii="Tahoma" w:hAnsi="Tahoma" w:cs="Tahoma"/>
                <w:b/>
                <w:bCs/>
                <w:sz w:val="23"/>
                <w:szCs w:val="23"/>
              </w:rPr>
            </w:pPr>
            <w:proofErr w:type="spellStart"/>
            <w:r w:rsidRPr="001707CF">
              <w:rPr>
                <w:rFonts w:ascii="Tahoma" w:hAnsi="Tahoma" w:cs="Tahoma"/>
                <w:b/>
                <w:bCs/>
                <w:sz w:val="23"/>
                <w:szCs w:val="23"/>
              </w:rPr>
              <w:t>Ukupno</w:t>
            </w:r>
            <w:proofErr w:type="spellEnd"/>
            <w:r w:rsidRPr="001707CF">
              <w:rPr>
                <w:rFonts w:ascii="Tahoma" w:hAnsi="Tahoma" w:cs="Tahoma"/>
                <w:b/>
                <w:bCs/>
                <w:sz w:val="23"/>
                <w:szCs w:val="23"/>
              </w:rPr>
              <w:t xml:space="preserve"> </w:t>
            </w:r>
            <w:proofErr w:type="spellStart"/>
            <w:r w:rsidRPr="001707CF">
              <w:rPr>
                <w:rFonts w:ascii="Tahoma" w:hAnsi="Tahoma" w:cs="Tahoma"/>
                <w:b/>
                <w:bCs/>
                <w:sz w:val="23"/>
                <w:szCs w:val="23"/>
              </w:rPr>
              <w:t>realizovani</w:t>
            </w:r>
            <w:proofErr w:type="spellEnd"/>
            <w:r w:rsidRPr="001707CF">
              <w:rPr>
                <w:rFonts w:ascii="Tahoma" w:hAnsi="Tahoma" w:cs="Tahoma"/>
                <w:b/>
                <w:bCs/>
                <w:sz w:val="23"/>
                <w:szCs w:val="23"/>
              </w:rPr>
              <w:t xml:space="preserve"> </w:t>
            </w:r>
            <w:proofErr w:type="spellStart"/>
            <w:r w:rsidRPr="001707CF">
              <w:rPr>
                <w:rFonts w:ascii="Tahoma" w:hAnsi="Tahoma" w:cs="Tahoma"/>
                <w:b/>
                <w:bCs/>
                <w:sz w:val="23"/>
                <w:szCs w:val="23"/>
              </w:rPr>
              <w:t>prihodi</w:t>
            </w:r>
            <w:proofErr w:type="spellEnd"/>
          </w:p>
        </w:tc>
        <w:tc>
          <w:tcPr>
            <w:tcW w:w="2020" w:type="dxa"/>
            <w:tcBorders>
              <w:top w:val="nil"/>
              <w:left w:val="nil"/>
              <w:bottom w:val="nil"/>
              <w:right w:val="nil"/>
            </w:tcBorders>
            <w:shd w:val="clear" w:color="auto" w:fill="auto"/>
            <w:noWrap/>
            <w:vAlign w:val="center"/>
          </w:tcPr>
          <w:p w14:paraId="2B1CA28D" w14:textId="77777777" w:rsidR="00C165F8" w:rsidRPr="001707CF" w:rsidRDefault="00C165F8" w:rsidP="008558ED">
            <w:pPr>
              <w:jc w:val="right"/>
              <w:rPr>
                <w:rFonts w:ascii="Tahoma" w:hAnsi="Tahoma" w:cs="Tahoma"/>
                <w:b/>
                <w:bCs/>
                <w:sz w:val="23"/>
                <w:szCs w:val="23"/>
              </w:rPr>
            </w:pPr>
            <w:r>
              <w:rPr>
                <w:rFonts w:ascii="Tahoma" w:hAnsi="Tahoma" w:cs="Tahoma"/>
                <w:b/>
                <w:bCs/>
                <w:sz w:val="23"/>
                <w:szCs w:val="23"/>
              </w:rPr>
              <w:t>64.915</w:t>
            </w:r>
          </w:p>
        </w:tc>
        <w:tc>
          <w:tcPr>
            <w:tcW w:w="2020" w:type="dxa"/>
            <w:tcBorders>
              <w:top w:val="nil"/>
              <w:left w:val="nil"/>
              <w:bottom w:val="nil"/>
              <w:right w:val="nil"/>
            </w:tcBorders>
            <w:shd w:val="clear" w:color="auto" w:fill="auto"/>
            <w:noWrap/>
            <w:vAlign w:val="center"/>
          </w:tcPr>
          <w:p w14:paraId="0494BE5D" w14:textId="77777777" w:rsidR="00C165F8" w:rsidRPr="001707CF" w:rsidRDefault="00C165F8" w:rsidP="008558ED">
            <w:pPr>
              <w:jc w:val="right"/>
              <w:rPr>
                <w:rFonts w:ascii="Tahoma" w:hAnsi="Tahoma" w:cs="Tahoma"/>
                <w:b/>
                <w:bCs/>
                <w:sz w:val="23"/>
                <w:szCs w:val="23"/>
              </w:rPr>
            </w:pPr>
            <w:r w:rsidRPr="001707CF">
              <w:rPr>
                <w:rFonts w:ascii="Tahoma" w:hAnsi="Tahoma" w:cs="Tahoma"/>
                <w:b/>
                <w:bCs/>
                <w:sz w:val="23"/>
                <w:szCs w:val="23"/>
              </w:rPr>
              <w:t>212.281</w:t>
            </w:r>
          </w:p>
        </w:tc>
      </w:tr>
      <w:tr w:rsidR="00C165F8" w:rsidRPr="001707CF" w14:paraId="1773C42B" w14:textId="77777777" w:rsidTr="008558ED">
        <w:trPr>
          <w:trHeight w:val="285"/>
          <w:jc w:val="center"/>
        </w:trPr>
        <w:tc>
          <w:tcPr>
            <w:tcW w:w="4962" w:type="dxa"/>
            <w:tcBorders>
              <w:top w:val="nil"/>
              <w:left w:val="nil"/>
              <w:bottom w:val="nil"/>
              <w:right w:val="nil"/>
            </w:tcBorders>
            <w:shd w:val="clear" w:color="auto" w:fill="auto"/>
            <w:noWrap/>
            <w:vAlign w:val="center"/>
            <w:hideMark/>
          </w:tcPr>
          <w:p w14:paraId="11955192" w14:textId="77777777" w:rsidR="00C165F8" w:rsidRPr="001707CF" w:rsidRDefault="00C165F8" w:rsidP="008558ED">
            <w:pPr>
              <w:rPr>
                <w:rFonts w:ascii="Tahoma" w:hAnsi="Tahoma" w:cs="Tahoma"/>
                <w:sz w:val="23"/>
                <w:szCs w:val="23"/>
              </w:rPr>
            </w:pPr>
            <w:proofErr w:type="spellStart"/>
            <w:r w:rsidRPr="001707CF">
              <w:rPr>
                <w:rFonts w:ascii="Tahoma" w:hAnsi="Tahoma" w:cs="Tahoma"/>
                <w:sz w:val="23"/>
                <w:szCs w:val="23"/>
              </w:rPr>
              <w:t>Poslovni</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rashodi</w:t>
            </w:r>
            <w:proofErr w:type="spellEnd"/>
          </w:p>
        </w:tc>
        <w:tc>
          <w:tcPr>
            <w:tcW w:w="2020" w:type="dxa"/>
            <w:tcBorders>
              <w:top w:val="nil"/>
              <w:left w:val="nil"/>
              <w:bottom w:val="nil"/>
              <w:right w:val="nil"/>
            </w:tcBorders>
            <w:shd w:val="clear" w:color="auto" w:fill="auto"/>
            <w:noWrap/>
            <w:vAlign w:val="center"/>
          </w:tcPr>
          <w:p w14:paraId="2866F77A" w14:textId="77777777" w:rsidR="00C165F8" w:rsidRPr="001707CF" w:rsidRDefault="00C165F8" w:rsidP="008558ED">
            <w:pPr>
              <w:jc w:val="right"/>
              <w:rPr>
                <w:rFonts w:ascii="Tahoma" w:hAnsi="Tahoma" w:cs="Tahoma"/>
                <w:sz w:val="23"/>
                <w:szCs w:val="23"/>
              </w:rPr>
            </w:pPr>
            <w:r>
              <w:rPr>
                <w:rFonts w:ascii="Tahoma" w:hAnsi="Tahoma" w:cs="Tahoma"/>
                <w:sz w:val="23"/>
                <w:szCs w:val="23"/>
              </w:rPr>
              <w:t>(228.107)</w:t>
            </w:r>
          </w:p>
        </w:tc>
        <w:tc>
          <w:tcPr>
            <w:tcW w:w="2020" w:type="dxa"/>
            <w:tcBorders>
              <w:top w:val="nil"/>
              <w:left w:val="nil"/>
              <w:bottom w:val="nil"/>
              <w:right w:val="nil"/>
            </w:tcBorders>
            <w:shd w:val="clear" w:color="auto" w:fill="auto"/>
            <w:noWrap/>
            <w:vAlign w:val="center"/>
          </w:tcPr>
          <w:p w14:paraId="1130C7F5" w14:textId="77777777" w:rsidR="00C165F8" w:rsidRPr="001707CF" w:rsidRDefault="00C165F8" w:rsidP="008558ED">
            <w:pPr>
              <w:jc w:val="right"/>
              <w:rPr>
                <w:rFonts w:ascii="Tahoma" w:hAnsi="Tahoma" w:cs="Tahoma"/>
                <w:sz w:val="23"/>
                <w:szCs w:val="23"/>
              </w:rPr>
            </w:pPr>
            <w:r w:rsidRPr="001707CF">
              <w:rPr>
                <w:rFonts w:ascii="Tahoma" w:hAnsi="Tahoma" w:cs="Tahoma"/>
                <w:sz w:val="23"/>
                <w:szCs w:val="23"/>
              </w:rPr>
              <w:t>(217.531)</w:t>
            </w:r>
          </w:p>
        </w:tc>
      </w:tr>
      <w:tr w:rsidR="00C165F8" w:rsidRPr="001707CF" w14:paraId="5BD4D970" w14:textId="77777777" w:rsidTr="008558ED">
        <w:trPr>
          <w:trHeight w:val="285"/>
          <w:jc w:val="center"/>
        </w:trPr>
        <w:tc>
          <w:tcPr>
            <w:tcW w:w="4962" w:type="dxa"/>
            <w:tcBorders>
              <w:top w:val="nil"/>
              <w:left w:val="nil"/>
              <w:bottom w:val="nil"/>
              <w:right w:val="nil"/>
            </w:tcBorders>
            <w:shd w:val="clear" w:color="auto" w:fill="auto"/>
            <w:noWrap/>
            <w:vAlign w:val="center"/>
            <w:hideMark/>
          </w:tcPr>
          <w:p w14:paraId="4F396802" w14:textId="77777777" w:rsidR="00C165F8" w:rsidRPr="001707CF" w:rsidRDefault="00C165F8" w:rsidP="008558ED">
            <w:pPr>
              <w:rPr>
                <w:rFonts w:ascii="Tahoma" w:hAnsi="Tahoma" w:cs="Tahoma"/>
                <w:sz w:val="23"/>
                <w:szCs w:val="23"/>
              </w:rPr>
            </w:pPr>
            <w:proofErr w:type="spellStart"/>
            <w:r w:rsidRPr="001707CF">
              <w:rPr>
                <w:rFonts w:ascii="Tahoma" w:hAnsi="Tahoma" w:cs="Tahoma"/>
                <w:sz w:val="23"/>
                <w:szCs w:val="23"/>
              </w:rPr>
              <w:t>Realizovani</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gubitak</w:t>
            </w:r>
            <w:proofErr w:type="spellEnd"/>
          </w:p>
        </w:tc>
        <w:tc>
          <w:tcPr>
            <w:tcW w:w="2020" w:type="dxa"/>
            <w:tcBorders>
              <w:top w:val="nil"/>
              <w:left w:val="nil"/>
              <w:bottom w:val="nil"/>
              <w:right w:val="nil"/>
            </w:tcBorders>
            <w:shd w:val="clear" w:color="auto" w:fill="auto"/>
            <w:noWrap/>
            <w:vAlign w:val="center"/>
          </w:tcPr>
          <w:p w14:paraId="6857EC04" w14:textId="77777777" w:rsidR="00C165F8" w:rsidRPr="001707CF" w:rsidRDefault="00C165F8" w:rsidP="008558ED">
            <w:pPr>
              <w:jc w:val="right"/>
              <w:rPr>
                <w:rFonts w:ascii="Tahoma" w:hAnsi="Tahoma" w:cs="Tahoma"/>
                <w:sz w:val="23"/>
                <w:szCs w:val="23"/>
              </w:rPr>
            </w:pPr>
            <w:r>
              <w:rPr>
                <w:rFonts w:ascii="Tahoma" w:hAnsi="Tahoma" w:cs="Tahoma"/>
                <w:sz w:val="23"/>
                <w:szCs w:val="23"/>
              </w:rPr>
              <w:t>-</w:t>
            </w:r>
          </w:p>
        </w:tc>
        <w:tc>
          <w:tcPr>
            <w:tcW w:w="2020" w:type="dxa"/>
            <w:tcBorders>
              <w:top w:val="nil"/>
              <w:left w:val="nil"/>
              <w:bottom w:val="nil"/>
              <w:right w:val="nil"/>
            </w:tcBorders>
            <w:shd w:val="clear" w:color="auto" w:fill="auto"/>
            <w:noWrap/>
            <w:vAlign w:val="center"/>
          </w:tcPr>
          <w:p w14:paraId="100646BF" w14:textId="77777777" w:rsidR="00C165F8" w:rsidRPr="001707CF" w:rsidRDefault="00C165F8" w:rsidP="008558ED">
            <w:pPr>
              <w:jc w:val="right"/>
              <w:rPr>
                <w:rFonts w:ascii="Tahoma" w:hAnsi="Tahoma" w:cs="Tahoma"/>
                <w:sz w:val="23"/>
                <w:szCs w:val="23"/>
              </w:rPr>
            </w:pPr>
            <w:r w:rsidRPr="001707CF">
              <w:rPr>
                <w:rFonts w:ascii="Tahoma" w:hAnsi="Tahoma" w:cs="Tahoma"/>
                <w:sz w:val="23"/>
                <w:szCs w:val="23"/>
              </w:rPr>
              <w:t>-</w:t>
            </w:r>
          </w:p>
        </w:tc>
      </w:tr>
      <w:tr w:rsidR="00C165F8" w:rsidRPr="001707CF" w14:paraId="72D29F27" w14:textId="77777777" w:rsidTr="008558ED">
        <w:trPr>
          <w:trHeight w:val="285"/>
          <w:jc w:val="center"/>
        </w:trPr>
        <w:tc>
          <w:tcPr>
            <w:tcW w:w="4962" w:type="dxa"/>
            <w:tcBorders>
              <w:top w:val="nil"/>
              <w:left w:val="nil"/>
              <w:bottom w:val="nil"/>
              <w:right w:val="nil"/>
            </w:tcBorders>
            <w:shd w:val="clear" w:color="auto" w:fill="auto"/>
            <w:noWrap/>
            <w:vAlign w:val="center"/>
            <w:hideMark/>
          </w:tcPr>
          <w:p w14:paraId="0FA6858B" w14:textId="77777777" w:rsidR="00C165F8" w:rsidRPr="001707CF" w:rsidRDefault="00C165F8" w:rsidP="008558ED">
            <w:pPr>
              <w:rPr>
                <w:rFonts w:ascii="Tahoma" w:hAnsi="Tahoma" w:cs="Tahoma"/>
                <w:sz w:val="23"/>
                <w:szCs w:val="23"/>
              </w:rPr>
            </w:pPr>
            <w:proofErr w:type="spellStart"/>
            <w:r w:rsidRPr="001707CF">
              <w:rPr>
                <w:rFonts w:ascii="Tahoma" w:hAnsi="Tahoma" w:cs="Tahoma"/>
                <w:sz w:val="23"/>
                <w:szCs w:val="23"/>
              </w:rPr>
              <w:t>Finansijski</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rashodi</w:t>
            </w:r>
            <w:proofErr w:type="spellEnd"/>
          </w:p>
        </w:tc>
        <w:tc>
          <w:tcPr>
            <w:tcW w:w="2020" w:type="dxa"/>
            <w:tcBorders>
              <w:top w:val="nil"/>
              <w:left w:val="nil"/>
              <w:bottom w:val="nil"/>
              <w:right w:val="nil"/>
            </w:tcBorders>
            <w:shd w:val="clear" w:color="auto" w:fill="auto"/>
            <w:noWrap/>
            <w:vAlign w:val="center"/>
          </w:tcPr>
          <w:p w14:paraId="025DCF89" w14:textId="77777777" w:rsidR="00C165F8" w:rsidRPr="001707CF" w:rsidRDefault="00C165F8" w:rsidP="008558ED">
            <w:pPr>
              <w:jc w:val="right"/>
              <w:rPr>
                <w:rFonts w:ascii="Tahoma" w:hAnsi="Tahoma" w:cs="Tahoma"/>
                <w:sz w:val="23"/>
                <w:szCs w:val="23"/>
              </w:rPr>
            </w:pPr>
            <w:r>
              <w:rPr>
                <w:rFonts w:ascii="Tahoma" w:hAnsi="Tahoma" w:cs="Tahoma"/>
                <w:sz w:val="23"/>
                <w:szCs w:val="23"/>
              </w:rPr>
              <w:t>-</w:t>
            </w:r>
          </w:p>
        </w:tc>
        <w:tc>
          <w:tcPr>
            <w:tcW w:w="2020" w:type="dxa"/>
            <w:tcBorders>
              <w:top w:val="nil"/>
              <w:left w:val="nil"/>
              <w:bottom w:val="nil"/>
              <w:right w:val="nil"/>
            </w:tcBorders>
            <w:shd w:val="clear" w:color="auto" w:fill="auto"/>
            <w:noWrap/>
            <w:vAlign w:val="center"/>
          </w:tcPr>
          <w:p w14:paraId="63EF6A6C" w14:textId="77777777" w:rsidR="00C165F8" w:rsidRPr="001707CF" w:rsidRDefault="00C165F8" w:rsidP="008558ED">
            <w:pPr>
              <w:jc w:val="right"/>
              <w:rPr>
                <w:rFonts w:ascii="Tahoma" w:hAnsi="Tahoma" w:cs="Tahoma"/>
                <w:sz w:val="23"/>
                <w:szCs w:val="23"/>
              </w:rPr>
            </w:pPr>
            <w:r w:rsidRPr="001707CF">
              <w:rPr>
                <w:rFonts w:ascii="Tahoma" w:hAnsi="Tahoma" w:cs="Tahoma"/>
                <w:sz w:val="23"/>
                <w:szCs w:val="23"/>
              </w:rPr>
              <w:t>-</w:t>
            </w:r>
          </w:p>
        </w:tc>
      </w:tr>
      <w:tr w:rsidR="00C165F8" w:rsidRPr="001707CF" w14:paraId="1B388D3E" w14:textId="77777777" w:rsidTr="008558ED">
        <w:trPr>
          <w:trHeight w:val="300"/>
          <w:jc w:val="center"/>
        </w:trPr>
        <w:tc>
          <w:tcPr>
            <w:tcW w:w="4962" w:type="dxa"/>
            <w:tcBorders>
              <w:top w:val="nil"/>
              <w:left w:val="nil"/>
              <w:bottom w:val="nil"/>
              <w:right w:val="nil"/>
            </w:tcBorders>
            <w:shd w:val="clear" w:color="auto" w:fill="auto"/>
            <w:noWrap/>
            <w:vAlign w:val="center"/>
            <w:hideMark/>
          </w:tcPr>
          <w:p w14:paraId="15309DEC" w14:textId="77777777" w:rsidR="00C165F8" w:rsidRPr="001707CF" w:rsidRDefault="00C165F8" w:rsidP="008558ED">
            <w:pPr>
              <w:rPr>
                <w:rFonts w:ascii="Tahoma" w:hAnsi="Tahoma" w:cs="Tahoma"/>
                <w:b/>
                <w:bCs/>
                <w:sz w:val="23"/>
                <w:szCs w:val="23"/>
              </w:rPr>
            </w:pPr>
            <w:proofErr w:type="spellStart"/>
            <w:r w:rsidRPr="001707CF">
              <w:rPr>
                <w:rFonts w:ascii="Tahoma" w:hAnsi="Tahoma" w:cs="Tahoma"/>
                <w:b/>
                <w:bCs/>
                <w:sz w:val="23"/>
                <w:szCs w:val="23"/>
              </w:rPr>
              <w:t>Ukupno</w:t>
            </w:r>
            <w:proofErr w:type="spellEnd"/>
            <w:r w:rsidRPr="001707CF">
              <w:rPr>
                <w:rFonts w:ascii="Tahoma" w:hAnsi="Tahoma" w:cs="Tahoma"/>
                <w:b/>
                <w:bCs/>
                <w:sz w:val="23"/>
                <w:szCs w:val="23"/>
              </w:rPr>
              <w:t xml:space="preserve"> </w:t>
            </w:r>
            <w:proofErr w:type="spellStart"/>
            <w:r w:rsidRPr="001707CF">
              <w:rPr>
                <w:rFonts w:ascii="Tahoma" w:hAnsi="Tahoma" w:cs="Tahoma"/>
                <w:b/>
                <w:bCs/>
                <w:sz w:val="23"/>
                <w:szCs w:val="23"/>
              </w:rPr>
              <w:t>realizovani</w:t>
            </w:r>
            <w:proofErr w:type="spellEnd"/>
            <w:r w:rsidRPr="001707CF">
              <w:rPr>
                <w:rFonts w:ascii="Tahoma" w:hAnsi="Tahoma" w:cs="Tahoma"/>
                <w:b/>
                <w:bCs/>
                <w:sz w:val="23"/>
                <w:szCs w:val="23"/>
              </w:rPr>
              <w:t xml:space="preserve"> </w:t>
            </w:r>
            <w:proofErr w:type="spellStart"/>
            <w:r w:rsidRPr="001707CF">
              <w:rPr>
                <w:rFonts w:ascii="Tahoma" w:hAnsi="Tahoma" w:cs="Tahoma"/>
                <w:b/>
                <w:bCs/>
                <w:sz w:val="23"/>
                <w:szCs w:val="23"/>
              </w:rPr>
              <w:t>rashodi</w:t>
            </w:r>
            <w:proofErr w:type="spellEnd"/>
          </w:p>
        </w:tc>
        <w:tc>
          <w:tcPr>
            <w:tcW w:w="2020" w:type="dxa"/>
            <w:tcBorders>
              <w:top w:val="nil"/>
              <w:left w:val="nil"/>
              <w:bottom w:val="double" w:sz="6" w:space="0" w:color="auto"/>
              <w:right w:val="nil"/>
            </w:tcBorders>
            <w:shd w:val="clear" w:color="auto" w:fill="auto"/>
            <w:noWrap/>
            <w:vAlign w:val="center"/>
          </w:tcPr>
          <w:p w14:paraId="052718DE" w14:textId="77777777" w:rsidR="00C165F8" w:rsidRPr="001707CF" w:rsidRDefault="00C165F8" w:rsidP="008558ED">
            <w:pPr>
              <w:jc w:val="right"/>
              <w:rPr>
                <w:rFonts w:ascii="Tahoma" w:hAnsi="Tahoma" w:cs="Tahoma"/>
                <w:b/>
                <w:bCs/>
                <w:sz w:val="23"/>
                <w:szCs w:val="23"/>
              </w:rPr>
            </w:pPr>
            <w:r>
              <w:rPr>
                <w:rFonts w:ascii="Tahoma" w:hAnsi="Tahoma" w:cs="Tahoma"/>
                <w:b/>
                <w:bCs/>
                <w:sz w:val="23"/>
                <w:szCs w:val="23"/>
              </w:rPr>
              <w:t>(228.107)</w:t>
            </w:r>
          </w:p>
        </w:tc>
        <w:tc>
          <w:tcPr>
            <w:tcW w:w="2020" w:type="dxa"/>
            <w:tcBorders>
              <w:top w:val="nil"/>
              <w:left w:val="nil"/>
              <w:bottom w:val="double" w:sz="6" w:space="0" w:color="auto"/>
              <w:right w:val="nil"/>
            </w:tcBorders>
            <w:shd w:val="clear" w:color="auto" w:fill="auto"/>
            <w:noWrap/>
            <w:vAlign w:val="center"/>
          </w:tcPr>
          <w:p w14:paraId="47F19D9E" w14:textId="77777777" w:rsidR="00C165F8" w:rsidRPr="001707CF" w:rsidRDefault="00C165F8" w:rsidP="008558ED">
            <w:pPr>
              <w:jc w:val="right"/>
              <w:rPr>
                <w:rFonts w:ascii="Tahoma" w:hAnsi="Tahoma" w:cs="Tahoma"/>
                <w:b/>
                <w:bCs/>
                <w:sz w:val="23"/>
                <w:szCs w:val="23"/>
              </w:rPr>
            </w:pPr>
            <w:r w:rsidRPr="001707CF">
              <w:rPr>
                <w:rFonts w:ascii="Tahoma" w:hAnsi="Tahoma" w:cs="Tahoma"/>
                <w:b/>
                <w:bCs/>
                <w:sz w:val="23"/>
                <w:szCs w:val="23"/>
              </w:rPr>
              <w:t>(217.531)</w:t>
            </w:r>
          </w:p>
        </w:tc>
      </w:tr>
      <w:tr w:rsidR="00C165F8" w:rsidRPr="001707CF" w14:paraId="7088F4BC" w14:textId="77777777" w:rsidTr="008558ED">
        <w:trPr>
          <w:trHeight w:val="300"/>
          <w:jc w:val="center"/>
        </w:trPr>
        <w:tc>
          <w:tcPr>
            <w:tcW w:w="4962" w:type="dxa"/>
            <w:tcBorders>
              <w:top w:val="nil"/>
              <w:left w:val="nil"/>
              <w:bottom w:val="single" w:sz="4" w:space="0" w:color="auto"/>
              <w:right w:val="nil"/>
            </w:tcBorders>
            <w:shd w:val="clear" w:color="auto" w:fill="auto"/>
            <w:noWrap/>
            <w:vAlign w:val="center"/>
            <w:hideMark/>
          </w:tcPr>
          <w:p w14:paraId="638F4B01" w14:textId="77777777" w:rsidR="00C165F8" w:rsidRPr="001707CF" w:rsidRDefault="00C165F8" w:rsidP="008558ED">
            <w:pPr>
              <w:rPr>
                <w:rFonts w:ascii="Tahoma" w:hAnsi="Tahoma" w:cs="Tahoma"/>
                <w:b/>
                <w:bCs/>
                <w:sz w:val="23"/>
                <w:szCs w:val="23"/>
              </w:rPr>
            </w:pPr>
            <w:r w:rsidRPr="001707CF">
              <w:rPr>
                <w:rFonts w:ascii="Tahoma" w:hAnsi="Tahoma" w:cs="Tahoma"/>
                <w:b/>
                <w:bCs/>
                <w:sz w:val="23"/>
                <w:szCs w:val="23"/>
              </w:rPr>
              <w:t>UKUPNO</w:t>
            </w:r>
          </w:p>
        </w:tc>
        <w:tc>
          <w:tcPr>
            <w:tcW w:w="2020" w:type="dxa"/>
            <w:tcBorders>
              <w:top w:val="nil"/>
              <w:left w:val="nil"/>
              <w:bottom w:val="single" w:sz="4" w:space="0" w:color="auto"/>
              <w:right w:val="nil"/>
            </w:tcBorders>
            <w:shd w:val="clear" w:color="auto" w:fill="auto"/>
            <w:noWrap/>
            <w:vAlign w:val="center"/>
          </w:tcPr>
          <w:p w14:paraId="0B3D4A25" w14:textId="77777777" w:rsidR="00C165F8" w:rsidRPr="001707CF" w:rsidRDefault="00C165F8" w:rsidP="008558ED">
            <w:pPr>
              <w:jc w:val="right"/>
              <w:rPr>
                <w:rFonts w:ascii="Tahoma" w:hAnsi="Tahoma" w:cs="Tahoma"/>
                <w:b/>
                <w:bCs/>
                <w:sz w:val="23"/>
                <w:szCs w:val="23"/>
              </w:rPr>
            </w:pPr>
            <w:r>
              <w:rPr>
                <w:rFonts w:ascii="Tahoma" w:hAnsi="Tahoma" w:cs="Tahoma"/>
                <w:b/>
                <w:bCs/>
                <w:sz w:val="23"/>
                <w:szCs w:val="23"/>
              </w:rPr>
              <w:t>(163.192)</w:t>
            </w:r>
          </w:p>
        </w:tc>
        <w:tc>
          <w:tcPr>
            <w:tcW w:w="2020" w:type="dxa"/>
            <w:tcBorders>
              <w:top w:val="nil"/>
              <w:left w:val="nil"/>
              <w:bottom w:val="single" w:sz="4" w:space="0" w:color="auto"/>
              <w:right w:val="nil"/>
            </w:tcBorders>
            <w:shd w:val="clear" w:color="auto" w:fill="auto"/>
            <w:noWrap/>
            <w:vAlign w:val="center"/>
          </w:tcPr>
          <w:p w14:paraId="49522CAE" w14:textId="77777777" w:rsidR="00C165F8" w:rsidRPr="001707CF" w:rsidRDefault="00C165F8" w:rsidP="008558ED">
            <w:pPr>
              <w:jc w:val="right"/>
              <w:rPr>
                <w:rFonts w:ascii="Tahoma" w:hAnsi="Tahoma" w:cs="Tahoma"/>
                <w:b/>
                <w:bCs/>
                <w:sz w:val="23"/>
                <w:szCs w:val="23"/>
              </w:rPr>
            </w:pPr>
            <w:r w:rsidRPr="001707CF">
              <w:rPr>
                <w:rFonts w:ascii="Tahoma" w:hAnsi="Tahoma" w:cs="Tahoma"/>
                <w:b/>
                <w:bCs/>
                <w:sz w:val="23"/>
                <w:szCs w:val="23"/>
              </w:rPr>
              <w:t>(5.250)</w:t>
            </w:r>
          </w:p>
        </w:tc>
      </w:tr>
    </w:tbl>
    <w:p w14:paraId="5121D538" w14:textId="77777777" w:rsidR="00C165F8" w:rsidRPr="001707CF" w:rsidRDefault="00C165F8" w:rsidP="00C165F8">
      <w:pPr>
        <w:spacing w:after="120"/>
        <w:ind w:right="993"/>
        <w:jc w:val="right"/>
        <w:rPr>
          <w:rFonts w:ascii="Tahoma" w:hAnsi="Tahoma" w:cs="Tahoma"/>
          <w:b/>
          <w:bCs/>
          <w:i/>
          <w:sz w:val="23"/>
          <w:szCs w:val="23"/>
          <w:lang w:val="sr-Latn-BA"/>
        </w:rPr>
      </w:pPr>
    </w:p>
    <w:p w14:paraId="19FDA82D" w14:textId="77777777" w:rsidR="00C165F8" w:rsidRPr="001707CF" w:rsidRDefault="00C165F8" w:rsidP="00C165F8">
      <w:pPr>
        <w:numPr>
          <w:ilvl w:val="0"/>
          <w:numId w:val="22"/>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DOBITAK/(GUBITAK) PO UDJELU</w:t>
      </w:r>
    </w:p>
    <w:tbl>
      <w:tblPr>
        <w:tblW w:w="9002" w:type="dxa"/>
        <w:jc w:val="center"/>
        <w:tblLook w:val="04A0" w:firstRow="1" w:lastRow="0" w:firstColumn="1" w:lastColumn="0" w:noHBand="0" w:noVBand="1"/>
      </w:tblPr>
      <w:tblGrid>
        <w:gridCol w:w="4962"/>
        <w:gridCol w:w="2020"/>
        <w:gridCol w:w="2020"/>
      </w:tblGrid>
      <w:tr w:rsidR="00C165F8" w:rsidRPr="001707CF" w14:paraId="64342159" w14:textId="77777777" w:rsidTr="008558ED">
        <w:trPr>
          <w:trHeight w:val="424"/>
          <w:jc w:val="center"/>
        </w:trPr>
        <w:tc>
          <w:tcPr>
            <w:tcW w:w="4962" w:type="dxa"/>
            <w:tcBorders>
              <w:top w:val="single" w:sz="4" w:space="0" w:color="auto"/>
              <w:left w:val="nil"/>
              <w:bottom w:val="single" w:sz="4" w:space="0" w:color="auto"/>
              <w:right w:val="nil"/>
            </w:tcBorders>
            <w:shd w:val="clear" w:color="auto" w:fill="auto"/>
            <w:vAlign w:val="center"/>
            <w:hideMark/>
          </w:tcPr>
          <w:p w14:paraId="3329903A" w14:textId="77777777" w:rsidR="00C165F8" w:rsidRPr="001707CF" w:rsidRDefault="00C165F8" w:rsidP="008558ED">
            <w:pPr>
              <w:jc w:val="center"/>
              <w:rPr>
                <w:rFonts w:ascii="Tahoma" w:hAnsi="Tahoma" w:cs="Tahoma"/>
                <w:i/>
                <w:iCs/>
                <w:sz w:val="23"/>
                <w:szCs w:val="23"/>
                <w:lang w:val="sr-Latn-BA" w:eastAsia="sr-Latn-BA"/>
              </w:rPr>
            </w:pPr>
            <w:proofErr w:type="spellStart"/>
            <w:r w:rsidRPr="001707CF">
              <w:rPr>
                <w:rFonts w:ascii="Tahoma" w:hAnsi="Tahoma" w:cs="Tahoma"/>
                <w:i/>
                <w:iCs/>
                <w:sz w:val="23"/>
                <w:szCs w:val="23"/>
              </w:rPr>
              <w:t>Opis</w:t>
            </w:r>
            <w:proofErr w:type="spellEnd"/>
          </w:p>
        </w:tc>
        <w:tc>
          <w:tcPr>
            <w:tcW w:w="2020" w:type="dxa"/>
            <w:tcBorders>
              <w:top w:val="single" w:sz="4" w:space="0" w:color="auto"/>
              <w:left w:val="nil"/>
              <w:bottom w:val="single" w:sz="4" w:space="0" w:color="auto"/>
              <w:right w:val="nil"/>
            </w:tcBorders>
            <w:shd w:val="clear" w:color="auto" w:fill="auto"/>
            <w:noWrap/>
            <w:vAlign w:val="center"/>
            <w:hideMark/>
          </w:tcPr>
          <w:p w14:paraId="5C8EDEA8" w14:textId="77777777" w:rsidR="00C165F8" w:rsidRPr="001707CF" w:rsidRDefault="00C165F8" w:rsidP="008558ED">
            <w:pPr>
              <w:jc w:val="center"/>
              <w:rPr>
                <w:rFonts w:ascii="Tahoma" w:hAnsi="Tahoma" w:cs="Tahoma"/>
                <w:i/>
                <w:iCs/>
                <w:sz w:val="23"/>
                <w:szCs w:val="23"/>
              </w:rPr>
            </w:pPr>
            <w:r>
              <w:rPr>
                <w:rFonts w:ascii="Tahoma" w:hAnsi="Tahoma" w:cs="Tahoma"/>
                <w:i/>
                <w:iCs/>
                <w:sz w:val="23"/>
                <w:szCs w:val="23"/>
              </w:rPr>
              <w:t>2024</w:t>
            </w:r>
            <w:r w:rsidRPr="001707CF">
              <w:rPr>
                <w:rFonts w:ascii="Tahoma" w:hAnsi="Tahoma" w:cs="Tahoma"/>
                <w:i/>
                <w:iCs/>
                <w:sz w:val="23"/>
                <w:szCs w:val="23"/>
              </w:rPr>
              <w:t>.</w:t>
            </w:r>
          </w:p>
        </w:tc>
        <w:tc>
          <w:tcPr>
            <w:tcW w:w="2020" w:type="dxa"/>
            <w:tcBorders>
              <w:top w:val="single" w:sz="4" w:space="0" w:color="auto"/>
              <w:left w:val="nil"/>
              <w:bottom w:val="single" w:sz="4" w:space="0" w:color="auto"/>
              <w:right w:val="nil"/>
            </w:tcBorders>
            <w:shd w:val="clear" w:color="auto" w:fill="auto"/>
            <w:noWrap/>
            <w:vAlign w:val="center"/>
            <w:hideMark/>
          </w:tcPr>
          <w:p w14:paraId="7000A7D9" w14:textId="77777777" w:rsidR="00C165F8" w:rsidRPr="001707CF" w:rsidRDefault="00C165F8" w:rsidP="008558ED">
            <w:pPr>
              <w:jc w:val="center"/>
              <w:rPr>
                <w:rFonts w:ascii="Tahoma" w:hAnsi="Tahoma" w:cs="Tahoma"/>
                <w:i/>
                <w:iCs/>
                <w:sz w:val="23"/>
                <w:szCs w:val="23"/>
              </w:rPr>
            </w:pPr>
            <w:r>
              <w:rPr>
                <w:rFonts w:ascii="Tahoma" w:hAnsi="Tahoma" w:cs="Tahoma"/>
                <w:i/>
                <w:iCs/>
                <w:sz w:val="23"/>
                <w:szCs w:val="23"/>
              </w:rPr>
              <w:t>2023</w:t>
            </w:r>
            <w:r w:rsidRPr="001707CF">
              <w:rPr>
                <w:rFonts w:ascii="Tahoma" w:hAnsi="Tahoma" w:cs="Tahoma"/>
                <w:i/>
                <w:iCs/>
                <w:sz w:val="23"/>
                <w:szCs w:val="23"/>
              </w:rPr>
              <w:t>.</w:t>
            </w:r>
          </w:p>
        </w:tc>
      </w:tr>
      <w:tr w:rsidR="00C165F8" w:rsidRPr="001707CF" w14:paraId="3C0A90ED" w14:textId="77777777" w:rsidTr="008558ED">
        <w:trPr>
          <w:trHeight w:val="285"/>
          <w:jc w:val="center"/>
        </w:trPr>
        <w:tc>
          <w:tcPr>
            <w:tcW w:w="4962" w:type="dxa"/>
            <w:tcBorders>
              <w:top w:val="nil"/>
              <w:left w:val="nil"/>
              <w:bottom w:val="nil"/>
              <w:right w:val="nil"/>
            </w:tcBorders>
            <w:shd w:val="clear" w:color="auto" w:fill="auto"/>
            <w:noWrap/>
            <w:vAlign w:val="center"/>
            <w:hideMark/>
          </w:tcPr>
          <w:p w14:paraId="3EF0345D" w14:textId="77777777" w:rsidR="00C165F8" w:rsidRPr="001707CF" w:rsidRDefault="00C165F8" w:rsidP="008558ED">
            <w:pPr>
              <w:rPr>
                <w:rFonts w:ascii="Tahoma" w:hAnsi="Tahoma" w:cs="Tahoma"/>
                <w:sz w:val="23"/>
                <w:szCs w:val="23"/>
              </w:rPr>
            </w:pPr>
            <w:proofErr w:type="spellStart"/>
            <w:r w:rsidRPr="001707CF">
              <w:rPr>
                <w:rFonts w:ascii="Tahoma" w:hAnsi="Tahoma" w:cs="Tahoma"/>
                <w:sz w:val="23"/>
                <w:szCs w:val="23"/>
              </w:rPr>
              <w:t>Povećanje</w:t>
            </w:r>
            <w:proofErr w:type="spellEnd"/>
            <w:r w:rsidRPr="001707CF">
              <w:rPr>
                <w:rFonts w:ascii="Tahoma" w:hAnsi="Tahoma" w:cs="Tahoma"/>
                <w:sz w:val="23"/>
                <w:szCs w:val="23"/>
              </w:rPr>
              <w:t>/(</w:t>
            </w:r>
            <w:proofErr w:type="spellStart"/>
            <w:r w:rsidRPr="001707CF">
              <w:rPr>
                <w:rFonts w:ascii="Tahoma" w:hAnsi="Tahoma" w:cs="Tahoma"/>
                <w:sz w:val="23"/>
                <w:szCs w:val="23"/>
              </w:rPr>
              <w:t>smanjenje</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neto</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imovine</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fonda</w:t>
            </w:r>
            <w:proofErr w:type="spellEnd"/>
          </w:p>
        </w:tc>
        <w:tc>
          <w:tcPr>
            <w:tcW w:w="2020" w:type="dxa"/>
            <w:tcBorders>
              <w:top w:val="nil"/>
              <w:left w:val="nil"/>
              <w:bottom w:val="nil"/>
              <w:right w:val="nil"/>
            </w:tcBorders>
            <w:shd w:val="clear" w:color="auto" w:fill="auto"/>
            <w:noWrap/>
            <w:vAlign w:val="center"/>
          </w:tcPr>
          <w:p w14:paraId="2015B63E" w14:textId="77777777" w:rsidR="00C165F8" w:rsidRPr="001707CF" w:rsidRDefault="00C165F8" w:rsidP="008558ED">
            <w:pPr>
              <w:jc w:val="right"/>
              <w:rPr>
                <w:rFonts w:ascii="Tahoma" w:hAnsi="Tahoma" w:cs="Tahoma"/>
                <w:sz w:val="23"/>
                <w:szCs w:val="23"/>
              </w:rPr>
            </w:pPr>
            <w:r>
              <w:rPr>
                <w:rFonts w:ascii="Tahoma" w:hAnsi="Tahoma" w:cs="Tahoma"/>
                <w:sz w:val="23"/>
                <w:szCs w:val="23"/>
              </w:rPr>
              <w:t>(362.829)</w:t>
            </w:r>
          </w:p>
        </w:tc>
        <w:tc>
          <w:tcPr>
            <w:tcW w:w="2020" w:type="dxa"/>
            <w:tcBorders>
              <w:top w:val="nil"/>
              <w:left w:val="nil"/>
              <w:bottom w:val="nil"/>
              <w:right w:val="nil"/>
            </w:tcBorders>
            <w:shd w:val="clear" w:color="auto" w:fill="auto"/>
            <w:noWrap/>
            <w:vAlign w:val="center"/>
          </w:tcPr>
          <w:p w14:paraId="7BFD35EC" w14:textId="77777777" w:rsidR="00C165F8" w:rsidRPr="001707CF" w:rsidRDefault="00C165F8" w:rsidP="008558ED">
            <w:pPr>
              <w:jc w:val="right"/>
              <w:rPr>
                <w:rFonts w:ascii="Tahoma" w:hAnsi="Tahoma" w:cs="Tahoma"/>
                <w:sz w:val="23"/>
                <w:szCs w:val="23"/>
              </w:rPr>
            </w:pPr>
            <w:r w:rsidRPr="001707CF">
              <w:rPr>
                <w:rFonts w:ascii="Tahoma" w:hAnsi="Tahoma" w:cs="Tahoma"/>
                <w:sz w:val="23"/>
                <w:szCs w:val="23"/>
              </w:rPr>
              <w:t>(154.171)</w:t>
            </w:r>
          </w:p>
        </w:tc>
      </w:tr>
      <w:tr w:rsidR="00C165F8" w:rsidRPr="001707CF" w14:paraId="697B0E5F" w14:textId="77777777" w:rsidTr="008558ED">
        <w:trPr>
          <w:trHeight w:val="300"/>
          <w:jc w:val="center"/>
        </w:trPr>
        <w:tc>
          <w:tcPr>
            <w:tcW w:w="4962" w:type="dxa"/>
            <w:tcBorders>
              <w:top w:val="nil"/>
              <w:left w:val="nil"/>
              <w:bottom w:val="nil"/>
              <w:right w:val="nil"/>
            </w:tcBorders>
            <w:shd w:val="clear" w:color="auto" w:fill="auto"/>
            <w:noWrap/>
            <w:vAlign w:val="center"/>
            <w:hideMark/>
          </w:tcPr>
          <w:p w14:paraId="7C66A70A" w14:textId="77777777" w:rsidR="00C165F8" w:rsidRPr="001707CF" w:rsidRDefault="00C165F8" w:rsidP="008558ED">
            <w:pPr>
              <w:rPr>
                <w:rFonts w:ascii="Tahoma" w:hAnsi="Tahoma" w:cs="Tahoma"/>
                <w:b/>
                <w:bCs/>
                <w:sz w:val="23"/>
                <w:szCs w:val="23"/>
              </w:rPr>
            </w:pPr>
            <w:proofErr w:type="spellStart"/>
            <w:r w:rsidRPr="001707CF">
              <w:rPr>
                <w:rFonts w:ascii="Tahoma" w:hAnsi="Tahoma" w:cs="Tahoma"/>
                <w:sz w:val="23"/>
                <w:szCs w:val="23"/>
              </w:rPr>
              <w:t>Ukupan</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broj</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udjela</w:t>
            </w:r>
            <w:proofErr w:type="spellEnd"/>
          </w:p>
        </w:tc>
        <w:tc>
          <w:tcPr>
            <w:tcW w:w="2020" w:type="dxa"/>
            <w:tcBorders>
              <w:top w:val="nil"/>
              <w:left w:val="nil"/>
              <w:bottom w:val="double" w:sz="6" w:space="0" w:color="auto"/>
              <w:right w:val="nil"/>
            </w:tcBorders>
            <w:shd w:val="clear" w:color="auto" w:fill="auto"/>
            <w:noWrap/>
            <w:vAlign w:val="bottom"/>
          </w:tcPr>
          <w:p w14:paraId="09232DC3" w14:textId="77777777" w:rsidR="00C165F8" w:rsidRPr="001707CF" w:rsidRDefault="00C165F8" w:rsidP="008558ED">
            <w:pPr>
              <w:jc w:val="right"/>
              <w:rPr>
                <w:rFonts w:ascii="Tahoma" w:hAnsi="Tahoma" w:cs="Tahoma"/>
                <w:sz w:val="23"/>
                <w:szCs w:val="23"/>
              </w:rPr>
            </w:pPr>
            <w:r>
              <w:rPr>
                <w:rFonts w:ascii="Tahoma" w:hAnsi="Tahoma" w:cs="Tahoma"/>
                <w:sz w:val="23"/>
                <w:szCs w:val="23"/>
              </w:rPr>
              <w:t>2.095.755</w:t>
            </w:r>
          </w:p>
        </w:tc>
        <w:tc>
          <w:tcPr>
            <w:tcW w:w="2020" w:type="dxa"/>
            <w:tcBorders>
              <w:top w:val="nil"/>
              <w:left w:val="nil"/>
              <w:bottom w:val="double" w:sz="6" w:space="0" w:color="auto"/>
              <w:right w:val="nil"/>
            </w:tcBorders>
            <w:shd w:val="clear" w:color="auto" w:fill="auto"/>
            <w:noWrap/>
            <w:vAlign w:val="bottom"/>
          </w:tcPr>
          <w:p w14:paraId="259F4086" w14:textId="77777777" w:rsidR="00C165F8" w:rsidRPr="001707CF" w:rsidRDefault="00C165F8" w:rsidP="008558ED">
            <w:pPr>
              <w:jc w:val="right"/>
              <w:rPr>
                <w:rFonts w:ascii="Tahoma" w:hAnsi="Tahoma" w:cs="Tahoma"/>
                <w:sz w:val="23"/>
                <w:szCs w:val="23"/>
              </w:rPr>
            </w:pPr>
            <w:r w:rsidRPr="001707CF">
              <w:rPr>
                <w:rFonts w:ascii="Tahoma" w:hAnsi="Tahoma" w:cs="Tahoma"/>
                <w:sz w:val="23"/>
                <w:szCs w:val="23"/>
              </w:rPr>
              <w:t>2.099.814</w:t>
            </w:r>
          </w:p>
        </w:tc>
      </w:tr>
      <w:tr w:rsidR="00C165F8" w:rsidRPr="001707CF" w14:paraId="3D33E2FB" w14:textId="77777777" w:rsidTr="008558ED">
        <w:trPr>
          <w:trHeight w:val="300"/>
          <w:jc w:val="center"/>
        </w:trPr>
        <w:tc>
          <w:tcPr>
            <w:tcW w:w="4962" w:type="dxa"/>
            <w:tcBorders>
              <w:top w:val="nil"/>
              <w:left w:val="nil"/>
              <w:bottom w:val="single" w:sz="4" w:space="0" w:color="auto"/>
              <w:right w:val="nil"/>
            </w:tcBorders>
            <w:shd w:val="clear" w:color="auto" w:fill="auto"/>
            <w:noWrap/>
            <w:vAlign w:val="center"/>
            <w:hideMark/>
          </w:tcPr>
          <w:p w14:paraId="30E34D78" w14:textId="77777777" w:rsidR="00C165F8" w:rsidRPr="001707CF" w:rsidRDefault="00C165F8" w:rsidP="008558ED">
            <w:pPr>
              <w:rPr>
                <w:rFonts w:ascii="Tahoma" w:hAnsi="Tahoma" w:cs="Tahoma"/>
                <w:b/>
                <w:bCs/>
                <w:sz w:val="23"/>
                <w:szCs w:val="23"/>
              </w:rPr>
            </w:pPr>
            <w:r w:rsidRPr="001707CF">
              <w:rPr>
                <w:rFonts w:ascii="Tahoma" w:hAnsi="Tahoma" w:cs="Tahoma"/>
                <w:b/>
                <w:bCs/>
                <w:sz w:val="23"/>
                <w:szCs w:val="23"/>
              </w:rPr>
              <w:t>UKUPNO DOBITAK PO UDJELU</w:t>
            </w:r>
          </w:p>
        </w:tc>
        <w:tc>
          <w:tcPr>
            <w:tcW w:w="2020" w:type="dxa"/>
            <w:tcBorders>
              <w:top w:val="nil"/>
              <w:left w:val="nil"/>
              <w:bottom w:val="single" w:sz="4" w:space="0" w:color="auto"/>
              <w:right w:val="nil"/>
            </w:tcBorders>
            <w:shd w:val="clear" w:color="auto" w:fill="auto"/>
            <w:noWrap/>
            <w:vAlign w:val="center"/>
          </w:tcPr>
          <w:p w14:paraId="1B1FD135" w14:textId="77777777" w:rsidR="00C165F8" w:rsidRPr="001707CF" w:rsidRDefault="00C165F8" w:rsidP="008558ED">
            <w:pPr>
              <w:jc w:val="right"/>
              <w:rPr>
                <w:rFonts w:ascii="Tahoma" w:hAnsi="Tahoma" w:cs="Tahoma"/>
                <w:b/>
                <w:bCs/>
                <w:sz w:val="23"/>
                <w:szCs w:val="23"/>
              </w:rPr>
            </w:pPr>
            <w:r>
              <w:rPr>
                <w:rFonts w:ascii="Tahoma" w:hAnsi="Tahoma" w:cs="Tahoma"/>
                <w:b/>
                <w:bCs/>
                <w:sz w:val="23"/>
                <w:szCs w:val="23"/>
              </w:rPr>
              <w:t>(0,1731)</w:t>
            </w:r>
          </w:p>
        </w:tc>
        <w:tc>
          <w:tcPr>
            <w:tcW w:w="2020" w:type="dxa"/>
            <w:tcBorders>
              <w:top w:val="nil"/>
              <w:left w:val="nil"/>
              <w:bottom w:val="single" w:sz="4" w:space="0" w:color="auto"/>
              <w:right w:val="nil"/>
            </w:tcBorders>
            <w:shd w:val="clear" w:color="auto" w:fill="auto"/>
            <w:noWrap/>
            <w:vAlign w:val="center"/>
          </w:tcPr>
          <w:p w14:paraId="2EA9A536" w14:textId="77777777" w:rsidR="00C165F8" w:rsidRPr="001707CF" w:rsidRDefault="00C165F8" w:rsidP="008558ED">
            <w:pPr>
              <w:jc w:val="right"/>
              <w:rPr>
                <w:rFonts w:ascii="Tahoma" w:hAnsi="Tahoma" w:cs="Tahoma"/>
                <w:b/>
                <w:bCs/>
                <w:sz w:val="23"/>
                <w:szCs w:val="23"/>
              </w:rPr>
            </w:pPr>
            <w:r w:rsidRPr="001707CF">
              <w:rPr>
                <w:rFonts w:ascii="Tahoma" w:hAnsi="Tahoma" w:cs="Tahoma"/>
                <w:b/>
                <w:bCs/>
                <w:sz w:val="23"/>
                <w:szCs w:val="23"/>
              </w:rPr>
              <w:t>(0,0734)</w:t>
            </w:r>
          </w:p>
        </w:tc>
      </w:tr>
    </w:tbl>
    <w:p w14:paraId="0A979346" w14:textId="77777777" w:rsidR="00C165F8" w:rsidRPr="001707CF" w:rsidRDefault="00C165F8" w:rsidP="00C165F8">
      <w:pPr>
        <w:autoSpaceDE w:val="0"/>
        <w:autoSpaceDN w:val="0"/>
        <w:adjustRightInd w:val="0"/>
        <w:spacing w:after="120"/>
        <w:rPr>
          <w:rFonts w:ascii="Tahoma" w:hAnsi="Tahoma" w:cs="Tahoma"/>
          <w:b/>
          <w:sz w:val="23"/>
          <w:szCs w:val="23"/>
          <w:lang w:val="sr-Latn-BA"/>
        </w:rPr>
      </w:pPr>
    </w:p>
    <w:p w14:paraId="73F9A0F8" w14:textId="77777777" w:rsidR="00C165F8" w:rsidRDefault="00C165F8" w:rsidP="00C165F8">
      <w:pPr>
        <w:autoSpaceDE w:val="0"/>
        <w:autoSpaceDN w:val="0"/>
        <w:adjustRightInd w:val="0"/>
        <w:spacing w:after="120"/>
        <w:rPr>
          <w:rFonts w:ascii="Tahoma" w:hAnsi="Tahoma" w:cs="Tahoma"/>
          <w:b/>
          <w:sz w:val="23"/>
          <w:szCs w:val="23"/>
          <w:lang w:val="sr-Latn-BA"/>
        </w:rPr>
      </w:pPr>
    </w:p>
    <w:p w14:paraId="44BAFD1B" w14:textId="77777777" w:rsidR="005A3717" w:rsidRDefault="005A3717" w:rsidP="00C165F8">
      <w:pPr>
        <w:autoSpaceDE w:val="0"/>
        <w:autoSpaceDN w:val="0"/>
        <w:adjustRightInd w:val="0"/>
        <w:spacing w:after="120"/>
        <w:rPr>
          <w:rFonts w:ascii="Tahoma" w:hAnsi="Tahoma" w:cs="Tahoma"/>
          <w:b/>
          <w:sz w:val="23"/>
          <w:szCs w:val="23"/>
          <w:lang w:val="sr-Latn-BA"/>
        </w:rPr>
      </w:pPr>
    </w:p>
    <w:p w14:paraId="3AFCEFAA" w14:textId="77777777" w:rsidR="005A3717" w:rsidRPr="001707CF" w:rsidRDefault="005A3717" w:rsidP="00C165F8">
      <w:pPr>
        <w:autoSpaceDE w:val="0"/>
        <w:autoSpaceDN w:val="0"/>
        <w:adjustRightInd w:val="0"/>
        <w:spacing w:after="120"/>
        <w:rPr>
          <w:rFonts w:ascii="Tahoma" w:hAnsi="Tahoma" w:cs="Tahoma"/>
          <w:b/>
          <w:sz w:val="23"/>
          <w:szCs w:val="23"/>
          <w:lang w:val="sr-Latn-BA"/>
        </w:rPr>
      </w:pPr>
    </w:p>
    <w:p w14:paraId="4AA1414E" w14:textId="77777777" w:rsidR="00C165F8" w:rsidRPr="001707CF" w:rsidRDefault="00C165F8" w:rsidP="00C165F8">
      <w:pPr>
        <w:numPr>
          <w:ilvl w:val="0"/>
          <w:numId w:val="22"/>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 xml:space="preserve">GOTOVINA </w:t>
      </w:r>
    </w:p>
    <w:p w14:paraId="275326E1" w14:textId="77777777" w:rsidR="00C165F8" w:rsidRPr="001044C3" w:rsidRDefault="00C165F8" w:rsidP="00C165F8">
      <w:pPr>
        <w:autoSpaceDE w:val="0"/>
        <w:autoSpaceDN w:val="0"/>
        <w:adjustRightInd w:val="0"/>
        <w:spacing w:after="120"/>
        <w:jc w:val="both"/>
        <w:rPr>
          <w:rFonts w:ascii="Tahoma" w:hAnsi="Tahoma" w:cs="Tahoma"/>
          <w:sz w:val="23"/>
          <w:szCs w:val="23"/>
          <w:lang w:val="sr-Latn-BA"/>
        </w:rPr>
      </w:pPr>
      <w:r w:rsidRPr="001044C3">
        <w:rPr>
          <w:rFonts w:ascii="Tahoma" w:hAnsi="Tahoma" w:cs="Tahoma"/>
          <w:sz w:val="23"/>
          <w:szCs w:val="23"/>
          <w:lang w:val="sr-Latn-BA"/>
        </w:rPr>
        <w:t>Fond je na dan 31.12.2024. godine iskazao gotovinu u iznosu od 1.775.617 KM (31.12.2023. godine 1.923.496  KM) koja se odnosi na sredstva na računu kod Nova banka a.d. Banja Luka, u iznosu od 1.149.855,00 KM, kod BPŠ banka a.d. Banja Luka, u iznosu od 599.973,00 KM i Raiffeisen bank d.d. Sarajevo, u iznosu od 25789,00KM.</w:t>
      </w:r>
    </w:p>
    <w:p w14:paraId="3C073B8A" w14:textId="77777777" w:rsidR="00C165F8" w:rsidRPr="001707CF" w:rsidRDefault="00C165F8" w:rsidP="00C165F8">
      <w:pPr>
        <w:autoSpaceDE w:val="0"/>
        <w:autoSpaceDN w:val="0"/>
        <w:adjustRightInd w:val="0"/>
        <w:spacing w:after="120"/>
        <w:jc w:val="both"/>
        <w:rPr>
          <w:rFonts w:ascii="Tahoma" w:hAnsi="Tahoma" w:cs="Tahoma"/>
          <w:sz w:val="23"/>
          <w:szCs w:val="23"/>
          <w:lang w:val="sr-Latn-BA"/>
        </w:rPr>
      </w:pPr>
    </w:p>
    <w:p w14:paraId="7C83E0A4" w14:textId="77777777" w:rsidR="00C165F8" w:rsidRPr="001707CF" w:rsidRDefault="00C165F8" w:rsidP="00C165F8">
      <w:pPr>
        <w:autoSpaceDE w:val="0"/>
        <w:autoSpaceDN w:val="0"/>
        <w:adjustRightInd w:val="0"/>
        <w:spacing w:after="120"/>
        <w:jc w:val="both"/>
        <w:rPr>
          <w:rFonts w:ascii="Tahoma" w:hAnsi="Tahoma" w:cs="Tahoma"/>
          <w:sz w:val="23"/>
          <w:szCs w:val="23"/>
          <w:lang w:val="sr-Latn-BA"/>
        </w:rPr>
      </w:pPr>
    </w:p>
    <w:p w14:paraId="6A4DE6AA" w14:textId="77777777" w:rsidR="00C165F8" w:rsidRPr="001707CF" w:rsidRDefault="00C165F8" w:rsidP="00C165F8">
      <w:pPr>
        <w:autoSpaceDE w:val="0"/>
        <w:autoSpaceDN w:val="0"/>
        <w:adjustRightInd w:val="0"/>
        <w:spacing w:after="120"/>
        <w:jc w:val="both"/>
        <w:rPr>
          <w:rFonts w:ascii="Tahoma" w:hAnsi="Tahoma" w:cs="Tahoma"/>
          <w:sz w:val="23"/>
          <w:szCs w:val="23"/>
          <w:lang w:val="sr-Latn-BA"/>
        </w:rPr>
      </w:pPr>
    </w:p>
    <w:p w14:paraId="499707F6" w14:textId="77777777" w:rsidR="00C165F8" w:rsidRPr="001707CF" w:rsidRDefault="00C165F8" w:rsidP="00C165F8">
      <w:pPr>
        <w:numPr>
          <w:ilvl w:val="0"/>
          <w:numId w:val="22"/>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ULAGANJA FONDA</w:t>
      </w:r>
    </w:p>
    <w:p w14:paraId="42193A0A" w14:textId="77777777" w:rsidR="00C165F8" w:rsidRPr="001707CF" w:rsidRDefault="00C165F8" w:rsidP="00C165F8">
      <w:pPr>
        <w:autoSpaceDE w:val="0"/>
        <w:autoSpaceDN w:val="0"/>
        <w:adjustRightInd w:val="0"/>
        <w:spacing w:after="120"/>
        <w:jc w:val="both"/>
        <w:rPr>
          <w:rFonts w:ascii="Tahoma" w:hAnsi="Tahoma" w:cs="Tahoma"/>
          <w:sz w:val="23"/>
          <w:szCs w:val="23"/>
          <w:lang w:val="sr-Latn-BA"/>
        </w:rPr>
      </w:pPr>
      <w:r w:rsidRPr="001707CF">
        <w:rPr>
          <w:rFonts w:ascii="Tahoma" w:hAnsi="Tahoma" w:cs="Tahoma"/>
          <w:sz w:val="23"/>
          <w:szCs w:val="23"/>
          <w:lang w:val="sr-Latn-BA"/>
        </w:rPr>
        <w:t>Ulaganja Fonda na dan 31.12.</w:t>
      </w:r>
      <w:r>
        <w:rPr>
          <w:rFonts w:ascii="Tahoma" w:hAnsi="Tahoma" w:cs="Tahoma"/>
          <w:sz w:val="23"/>
          <w:szCs w:val="23"/>
          <w:lang w:val="sr-Latn-BA"/>
        </w:rPr>
        <w:t>2024</w:t>
      </w:r>
      <w:r w:rsidRPr="001707CF">
        <w:rPr>
          <w:rFonts w:ascii="Tahoma" w:hAnsi="Tahoma" w:cs="Tahoma"/>
          <w:sz w:val="23"/>
          <w:szCs w:val="23"/>
          <w:lang w:val="sr-Latn-BA"/>
        </w:rPr>
        <w:t>. godine se odnose na:</w:t>
      </w:r>
    </w:p>
    <w:p w14:paraId="5CD46B05" w14:textId="77777777" w:rsidR="00C165F8" w:rsidRPr="001707CF" w:rsidRDefault="00C165F8" w:rsidP="00C165F8">
      <w:pPr>
        <w:tabs>
          <w:tab w:val="left" w:pos="7938"/>
        </w:tabs>
        <w:spacing w:after="120"/>
        <w:ind w:right="-141"/>
        <w:jc w:val="right"/>
        <w:rPr>
          <w:rFonts w:ascii="Tahoma" w:hAnsi="Tahoma" w:cs="Tahoma"/>
          <w:i/>
          <w:sz w:val="23"/>
          <w:szCs w:val="23"/>
          <w:lang w:val="sr-Latn-BA"/>
        </w:rPr>
      </w:pPr>
      <w:r w:rsidRPr="001707CF">
        <w:rPr>
          <w:rFonts w:ascii="Tahoma" w:hAnsi="Tahoma" w:cs="Tahoma"/>
          <w:i/>
          <w:sz w:val="23"/>
          <w:szCs w:val="23"/>
          <w:lang w:val="sr-Latn-BA"/>
        </w:rPr>
        <w:t>(u KM)</w:t>
      </w:r>
    </w:p>
    <w:tbl>
      <w:tblPr>
        <w:tblW w:w="9535" w:type="dxa"/>
        <w:jc w:val="center"/>
        <w:tblLayout w:type="fixed"/>
        <w:tblLook w:val="04A0" w:firstRow="1" w:lastRow="0" w:firstColumn="1" w:lastColumn="0" w:noHBand="0" w:noVBand="1"/>
      </w:tblPr>
      <w:tblGrid>
        <w:gridCol w:w="6096"/>
        <w:gridCol w:w="1719"/>
        <w:gridCol w:w="1720"/>
      </w:tblGrid>
      <w:tr w:rsidR="00C165F8" w:rsidRPr="001707CF" w14:paraId="3CD8AF46" w14:textId="77777777" w:rsidTr="008558ED">
        <w:trPr>
          <w:trHeight w:val="514"/>
          <w:jc w:val="center"/>
        </w:trPr>
        <w:tc>
          <w:tcPr>
            <w:tcW w:w="6096" w:type="dxa"/>
            <w:tcBorders>
              <w:top w:val="single" w:sz="4" w:space="0" w:color="auto"/>
              <w:left w:val="nil"/>
              <w:bottom w:val="single" w:sz="4" w:space="0" w:color="auto"/>
              <w:right w:val="nil"/>
            </w:tcBorders>
            <w:shd w:val="clear" w:color="auto" w:fill="auto"/>
            <w:vAlign w:val="center"/>
            <w:hideMark/>
          </w:tcPr>
          <w:p w14:paraId="5C1A9367" w14:textId="77777777" w:rsidR="00C165F8" w:rsidRPr="001707CF" w:rsidRDefault="00C165F8" w:rsidP="008558ED">
            <w:pPr>
              <w:jc w:val="center"/>
              <w:rPr>
                <w:rFonts w:ascii="Tahoma" w:hAnsi="Tahoma" w:cs="Tahoma"/>
                <w:i/>
                <w:iCs/>
                <w:sz w:val="23"/>
                <w:szCs w:val="23"/>
                <w:lang w:val="sr-Latn-BA" w:eastAsia="sr-Latn-BA"/>
              </w:rPr>
            </w:pPr>
            <w:proofErr w:type="spellStart"/>
            <w:r w:rsidRPr="001707CF">
              <w:rPr>
                <w:rFonts w:ascii="Tahoma" w:hAnsi="Tahoma" w:cs="Tahoma"/>
                <w:i/>
                <w:iCs/>
                <w:sz w:val="23"/>
                <w:szCs w:val="23"/>
              </w:rPr>
              <w:t>Opis</w:t>
            </w:r>
            <w:proofErr w:type="spellEnd"/>
          </w:p>
        </w:tc>
        <w:tc>
          <w:tcPr>
            <w:tcW w:w="1719" w:type="dxa"/>
            <w:tcBorders>
              <w:top w:val="single" w:sz="4" w:space="0" w:color="auto"/>
              <w:left w:val="nil"/>
              <w:bottom w:val="single" w:sz="4" w:space="0" w:color="auto"/>
              <w:right w:val="nil"/>
            </w:tcBorders>
            <w:shd w:val="clear" w:color="auto" w:fill="auto"/>
            <w:noWrap/>
            <w:vAlign w:val="center"/>
            <w:hideMark/>
          </w:tcPr>
          <w:p w14:paraId="0295C88A" w14:textId="77777777" w:rsidR="00C165F8" w:rsidRPr="001707CF" w:rsidRDefault="00C165F8" w:rsidP="008558ED">
            <w:pPr>
              <w:jc w:val="center"/>
              <w:rPr>
                <w:rFonts w:ascii="Tahoma" w:hAnsi="Tahoma" w:cs="Tahoma"/>
                <w:i/>
                <w:iCs/>
                <w:sz w:val="23"/>
                <w:szCs w:val="23"/>
              </w:rPr>
            </w:pPr>
            <w:r w:rsidRPr="001707CF">
              <w:rPr>
                <w:rFonts w:ascii="Tahoma" w:hAnsi="Tahoma" w:cs="Tahoma"/>
                <w:i/>
                <w:iCs/>
                <w:sz w:val="23"/>
                <w:szCs w:val="23"/>
              </w:rPr>
              <w:t>31.12.</w:t>
            </w:r>
            <w:r>
              <w:rPr>
                <w:rFonts w:ascii="Tahoma" w:hAnsi="Tahoma" w:cs="Tahoma"/>
                <w:i/>
                <w:iCs/>
                <w:sz w:val="23"/>
                <w:szCs w:val="23"/>
              </w:rPr>
              <w:t>2024</w:t>
            </w:r>
            <w:r w:rsidRPr="001707CF">
              <w:rPr>
                <w:rFonts w:ascii="Tahoma" w:hAnsi="Tahoma" w:cs="Tahoma"/>
                <w:i/>
                <w:iCs/>
                <w:sz w:val="23"/>
                <w:szCs w:val="23"/>
              </w:rPr>
              <w:t>.</w:t>
            </w:r>
          </w:p>
        </w:tc>
        <w:tc>
          <w:tcPr>
            <w:tcW w:w="1720" w:type="dxa"/>
            <w:tcBorders>
              <w:top w:val="single" w:sz="4" w:space="0" w:color="auto"/>
              <w:left w:val="nil"/>
              <w:bottom w:val="single" w:sz="4" w:space="0" w:color="auto"/>
              <w:right w:val="nil"/>
            </w:tcBorders>
            <w:shd w:val="clear" w:color="auto" w:fill="auto"/>
            <w:noWrap/>
            <w:vAlign w:val="center"/>
            <w:hideMark/>
          </w:tcPr>
          <w:p w14:paraId="473AFBBF" w14:textId="77777777" w:rsidR="00C165F8" w:rsidRPr="001707CF" w:rsidRDefault="00C165F8" w:rsidP="008558ED">
            <w:pPr>
              <w:jc w:val="center"/>
              <w:rPr>
                <w:rFonts w:ascii="Tahoma" w:hAnsi="Tahoma" w:cs="Tahoma"/>
                <w:i/>
                <w:iCs/>
                <w:sz w:val="23"/>
                <w:szCs w:val="23"/>
              </w:rPr>
            </w:pPr>
            <w:r w:rsidRPr="001707CF">
              <w:rPr>
                <w:rFonts w:ascii="Tahoma" w:hAnsi="Tahoma" w:cs="Tahoma"/>
                <w:i/>
                <w:iCs/>
                <w:sz w:val="23"/>
                <w:szCs w:val="23"/>
              </w:rPr>
              <w:t>31.12.</w:t>
            </w:r>
            <w:r>
              <w:rPr>
                <w:rFonts w:ascii="Tahoma" w:hAnsi="Tahoma" w:cs="Tahoma"/>
                <w:i/>
                <w:iCs/>
                <w:sz w:val="23"/>
                <w:szCs w:val="23"/>
              </w:rPr>
              <w:t>2023</w:t>
            </w:r>
            <w:r w:rsidRPr="001707CF">
              <w:rPr>
                <w:rFonts w:ascii="Tahoma" w:hAnsi="Tahoma" w:cs="Tahoma"/>
                <w:i/>
                <w:iCs/>
                <w:sz w:val="23"/>
                <w:szCs w:val="23"/>
              </w:rPr>
              <w:t>.</w:t>
            </w:r>
          </w:p>
        </w:tc>
      </w:tr>
      <w:tr w:rsidR="00C165F8" w:rsidRPr="001707CF" w14:paraId="70B83EFB" w14:textId="77777777" w:rsidTr="008558ED">
        <w:trPr>
          <w:trHeight w:val="285"/>
          <w:jc w:val="center"/>
        </w:trPr>
        <w:tc>
          <w:tcPr>
            <w:tcW w:w="6096" w:type="dxa"/>
            <w:tcBorders>
              <w:top w:val="nil"/>
              <w:left w:val="nil"/>
              <w:bottom w:val="nil"/>
              <w:right w:val="nil"/>
            </w:tcBorders>
            <w:shd w:val="clear" w:color="auto" w:fill="auto"/>
            <w:noWrap/>
            <w:vAlign w:val="center"/>
            <w:hideMark/>
          </w:tcPr>
          <w:p w14:paraId="5FC8D596" w14:textId="77777777" w:rsidR="00C165F8" w:rsidRPr="001707CF" w:rsidRDefault="00C165F8" w:rsidP="008558ED">
            <w:pPr>
              <w:rPr>
                <w:rFonts w:ascii="Tahoma" w:hAnsi="Tahoma" w:cs="Tahoma"/>
                <w:sz w:val="23"/>
                <w:szCs w:val="23"/>
              </w:rPr>
            </w:pPr>
            <w:bookmarkStart w:id="3" w:name="_Hlk101266648"/>
            <w:proofErr w:type="spellStart"/>
            <w:r w:rsidRPr="001707CF">
              <w:rPr>
                <w:rFonts w:ascii="Tahoma" w:hAnsi="Tahoma" w:cs="Tahoma"/>
                <w:sz w:val="23"/>
                <w:szCs w:val="23"/>
              </w:rPr>
              <w:t>Finansijska</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sredstva</w:t>
            </w:r>
            <w:proofErr w:type="spellEnd"/>
            <w:r w:rsidRPr="001707CF">
              <w:rPr>
                <w:rFonts w:ascii="Tahoma" w:hAnsi="Tahoma" w:cs="Tahoma"/>
                <w:sz w:val="23"/>
                <w:szCs w:val="23"/>
              </w:rPr>
              <w:t xml:space="preserve"> po </w:t>
            </w:r>
            <w:proofErr w:type="spellStart"/>
            <w:r w:rsidRPr="001707CF">
              <w:rPr>
                <w:rFonts w:ascii="Tahoma" w:hAnsi="Tahoma" w:cs="Tahoma"/>
                <w:sz w:val="23"/>
                <w:szCs w:val="23"/>
              </w:rPr>
              <w:t>fer</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vrijednosti</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kroz</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ostali</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sveobuhvatni</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rezultat</w:t>
            </w:r>
            <w:bookmarkEnd w:id="3"/>
            <w:proofErr w:type="spellEnd"/>
          </w:p>
        </w:tc>
        <w:tc>
          <w:tcPr>
            <w:tcW w:w="1719" w:type="dxa"/>
            <w:tcBorders>
              <w:top w:val="nil"/>
              <w:left w:val="nil"/>
              <w:bottom w:val="nil"/>
              <w:right w:val="nil"/>
            </w:tcBorders>
            <w:shd w:val="clear" w:color="auto" w:fill="auto"/>
            <w:noWrap/>
            <w:vAlign w:val="bottom"/>
          </w:tcPr>
          <w:p w14:paraId="36B6CE6F" w14:textId="77777777" w:rsidR="00C165F8" w:rsidRPr="001707CF" w:rsidRDefault="00C165F8" w:rsidP="008558ED">
            <w:pPr>
              <w:jc w:val="right"/>
              <w:rPr>
                <w:rFonts w:ascii="Tahoma" w:hAnsi="Tahoma" w:cs="Tahoma"/>
                <w:sz w:val="23"/>
                <w:szCs w:val="23"/>
              </w:rPr>
            </w:pPr>
            <w:r>
              <w:rPr>
                <w:rFonts w:ascii="Tahoma" w:hAnsi="Tahoma" w:cs="Tahoma"/>
                <w:sz w:val="23"/>
                <w:szCs w:val="23"/>
              </w:rPr>
              <w:t>4.658.835</w:t>
            </w:r>
          </w:p>
        </w:tc>
        <w:tc>
          <w:tcPr>
            <w:tcW w:w="1720" w:type="dxa"/>
            <w:tcBorders>
              <w:top w:val="nil"/>
              <w:left w:val="nil"/>
              <w:bottom w:val="nil"/>
              <w:right w:val="nil"/>
            </w:tcBorders>
            <w:shd w:val="clear" w:color="auto" w:fill="auto"/>
            <w:noWrap/>
            <w:vAlign w:val="bottom"/>
          </w:tcPr>
          <w:p w14:paraId="1E1A443B" w14:textId="77777777" w:rsidR="00C165F8" w:rsidRPr="001707CF" w:rsidRDefault="00C165F8" w:rsidP="008558ED">
            <w:pPr>
              <w:jc w:val="right"/>
              <w:rPr>
                <w:rFonts w:ascii="Tahoma" w:hAnsi="Tahoma" w:cs="Tahoma"/>
                <w:sz w:val="23"/>
                <w:szCs w:val="23"/>
              </w:rPr>
            </w:pPr>
            <w:r w:rsidRPr="001707CF">
              <w:rPr>
                <w:rFonts w:ascii="Tahoma" w:hAnsi="Tahoma" w:cs="Tahoma"/>
                <w:sz w:val="23"/>
                <w:szCs w:val="23"/>
              </w:rPr>
              <w:t>4.937.951</w:t>
            </w:r>
          </w:p>
        </w:tc>
      </w:tr>
      <w:tr w:rsidR="00C165F8" w:rsidRPr="001707CF" w14:paraId="6696AB2E" w14:textId="77777777" w:rsidTr="008558ED">
        <w:trPr>
          <w:trHeight w:val="300"/>
          <w:jc w:val="center"/>
        </w:trPr>
        <w:tc>
          <w:tcPr>
            <w:tcW w:w="6096" w:type="dxa"/>
            <w:tcBorders>
              <w:top w:val="nil"/>
              <w:left w:val="nil"/>
              <w:bottom w:val="nil"/>
              <w:right w:val="nil"/>
            </w:tcBorders>
            <w:shd w:val="clear" w:color="auto" w:fill="auto"/>
            <w:noWrap/>
            <w:vAlign w:val="center"/>
            <w:hideMark/>
          </w:tcPr>
          <w:p w14:paraId="6755222F" w14:textId="77777777" w:rsidR="00C165F8" w:rsidRPr="001707CF" w:rsidRDefault="00C165F8" w:rsidP="008558ED">
            <w:pPr>
              <w:rPr>
                <w:rFonts w:ascii="Tahoma" w:hAnsi="Tahoma" w:cs="Tahoma"/>
                <w:sz w:val="23"/>
                <w:szCs w:val="23"/>
              </w:rPr>
            </w:pPr>
            <w:proofErr w:type="spellStart"/>
            <w:r w:rsidRPr="001707CF">
              <w:rPr>
                <w:rFonts w:ascii="Tahoma" w:hAnsi="Tahoma" w:cs="Tahoma"/>
                <w:sz w:val="23"/>
                <w:szCs w:val="23"/>
              </w:rPr>
              <w:t>Finansijska</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sredstva</w:t>
            </w:r>
            <w:proofErr w:type="spellEnd"/>
            <w:r w:rsidRPr="001707CF">
              <w:rPr>
                <w:rFonts w:ascii="Tahoma" w:hAnsi="Tahoma" w:cs="Tahoma"/>
                <w:sz w:val="23"/>
                <w:szCs w:val="23"/>
              </w:rPr>
              <w:t xml:space="preserve"> po </w:t>
            </w:r>
            <w:proofErr w:type="spellStart"/>
            <w:r w:rsidRPr="001707CF">
              <w:rPr>
                <w:rFonts w:ascii="Tahoma" w:hAnsi="Tahoma" w:cs="Tahoma"/>
                <w:sz w:val="23"/>
                <w:szCs w:val="23"/>
              </w:rPr>
              <w:t>amortizovanoj</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vrijednosti</w:t>
            </w:r>
            <w:proofErr w:type="spellEnd"/>
          </w:p>
        </w:tc>
        <w:tc>
          <w:tcPr>
            <w:tcW w:w="1719" w:type="dxa"/>
            <w:tcBorders>
              <w:top w:val="nil"/>
              <w:left w:val="nil"/>
              <w:bottom w:val="double" w:sz="6" w:space="0" w:color="auto"/>
              <w:right w:val="nil"/>
            </w:tcBorders>
            <w:shd w:val="clear" w:color="auto" w:fill="auto"/>
            <w:noWrap/>
            <w:vAlign w:val="center"/>
          </w:tcPr>
          <w:p w14:paraId="480D60C8" w14:textId="77777777" w:rsidR="00C165F8" w:rsidRPr="001707CF" w:rsidRDefault="00C165F8" w:rsidP="008558ED">
            <w:pPr>
              <w:jc w:val="right"/>
              <w:rPr>
                <w:rFonts w:ascii="Tahoma" w:hAnsi="Tahoma" w:cs="Tahoma"/>
                <w:sz w:val="23"/>
                <w:szCs w:val="23"/>
              </w:rPr>
            </w:pPr>
            <w:r>
              <w:rPr>
                <w:rFonts w:ascii="Tahoma" w:hAnsi="Tahoma" w:cs="Tahoma"/>
                <w:sz w:val="23"/>
                <w:szCs w:val="23"/>
              </w:rPr>
              <w:t>-</w:t>
            </w:r>
          </w:p>
        </w:tc>
        <w:tc>
          <w:tcPr>
            <w:tcW w:w="1720" w:type="dxa"/>
            <w:tcBorders>
              <w:top w:val="nil"/>
              <w:left w:val="nil"/>
              <w:bottom w:val="double" w:sz="6" w:space="0" w:color="auto"/>
              <w:right w:val="nil"/>
            </w:tcBorders>
            <w:shd w:val="clear" w:color="auto" w:fill="auto"/>
            <w:noWrap/>
            <w:vAlign w:val="center"/>
          </w:tcPr>
          <w:p w14:paraId="4446AE39" w14:textId="77777777" w:rsidR="00C165F8" w:rsidRPr="001707CF" w:rsidRDefault="00C165F8" w:rsidP="008558ED">
            <w:pPr>
              <w:jc w:val="right"/>
              <w:rPr>
                <w:rFonts w:ascii="Tahoma" w:hAnsi="Tahoma" w:cs="Tahoma"/>
                <w:sz w:val="23"/>
                <w:szCs w:val="23"/>
              </w:rPr>
            </w:pPr>
            <w:r w:rsidRPr="001707CF">
              <w:rPr>
                <w:rFonts w:ascii="Tahoma" w:hAnsi="Tahoma" w:cs="Tahoma"/>
                <w:sz w:val="23"/>
                <w:szCs w:val="23"/>
              </w:rPr>
              <w:t>-</w:t>
            </w:r>
          </w:p>
        </w:tc>
      </w:tr>
      <w:tr w:rsidR="00C165F8" w:rsidRPr="001707CF" w14:paraId="707192E9" w14:textId="77777777" w:rsidTr="008558ED">
        <w:trPr>
          <w:trHeight w:val="300"/>
          <w:jc w:val="center"/>
        </w:trPr>
        <w:tc>
          <w:tcPr>
            <w:tcW w:w="6096" w:type="dxa"/>
            <w:tcBorders>
              <w:top w:val="nil"/>
              <w:left w:val="nil"/>
              <w:bottom w:val="single" w:sz="4" w:space="0" w:color="auto"/>
              <w:right w:val="nil"/>
            </w:tcBorders>
            <w:shd w:val="clear" w:color="auto" w:fill="auto"/>
            <w:noWrap/>
            <w:vAlign w:val="center"/>
            <w:hideMark/>
          </w:tcPr>
          <w:p w14:paraId="3D31E1D2" w14:textId="77777777" w:rsidR="00C165F8" w:rsidRPr="001707CF" w:rsidRDefault="00C165F8" w:rsidP="008558ED">
            <w:pPr>
              <w:rPr>
                <w:rFonts w:ascii="Tahoma" w:hAnsi="Tahoma" w:cs="Tahoma"/>
                <w:b/>
                <w:bCs/>
                <w:sz w:val="23"/>
                <w:szCs w:val="23"/>
              </w:rPr>
            </w:pPr>
            <w:r w:rsidRPr="001707CF">
              <w:rPr>
                <w:rFonts w:ascii="Tahoma" w:hAnsi="Tahoma" w:cs="Tahoma"/>
                <w:b/>
                <w:bCs/>
                <w:sz w:val="23"/>
                <w:szCs w:val="23"/>
              </w:rPr>
              <w:t>UKUPNO</w:t>
            </w:r>
          </w:p>
        </w:tc>
        <w:tc>
          <w:tcPr>
            <w:tcW w:w="1719" w:type="dxa"/>
            <w:tcBorders>
              <w:top w:val="nil"/>
              <w:left w:val="nil"/>
              <w:bottom w:val="single" w:sz="4" w:space="0" w:color="auto"/>
              <w:right w:val="nil"/>
            </w:tcBorders>
            <w:shd w:val="clear" w:color="auto" w:fill="auto"/>
            <w:noWrap/>
            <w:vAlign w:val="bottom"/>
          </w:tcPr>
          <w:p w14:paraId="3DB11486" w14:textId="77777777" w:rsidR="00C165F8" w:rsidRPr="001707CF" w:rsidRDefault="00C165F8" w:rsidP="008558ED">
            <w:pPr>
              <w:jc w:val="right"/>
              <w:rPr>
                <w:rFonts w:ascii="Tahoma" w:hAnsi="Tahoma" w:cs="Tahoma"/>
                <w:b/>
                <w:bCs/>
                <w:sz w:val="23"/>
                <w:szCs w:val="23"/>
              </w:rPr>
            </w:pPr>
            <w:r>
              <w:rPr>
                <w:rFonts w:ascii="Tahoma" w:hAnsi="Tahoma" w:cs="Tahoma"/>
                <w:b/>
                <w:bCs/>
                <w:sz w:val="23"/>
                <w:szCs w:val="23"/>
              </w:rPr>
              <w:t>4.658.835</w:t>
            </w:r>
          </w:p>
        </w:tc>
        <w:tc>
          <w:tcPr>
            <w:tcW w:w="1720" w:type="dxa"/>
            <w:tcBorders>
              <w:top w:val="nil"/>
              <w:left w:val="nil"/>
              <w:bottom w:val="single" w:sz="4" w:space="0" w:color="auto"/>
              <w:right w:val="nil"/>
            </w:tcBorders>
            <w:shd w:val="clear" w:color="auto" w:fill="auto"/>
            <w:noWrap/>
            <w:vAlign w:val="bottom"/>
          </w:tcPr>
          <w:p w14:paraId="4D6D2D59" w14:textId="77777777" w:rsidR="00C165F8" w:rsidRPr="001707CF" w:rsidRDefault="00C165F8" w:rsidP="008558ED">
            <w:pPr>
              <w:jc w:val="right"/>
              <w:rPr>
                <w:rFonts w:ascii="Tahoma" w:hAnsi="Tahoma" w:cs="Tahoma"/>
                <w:b/>
                <w:bCs/>
                <w:sz w:val="23"/>
                <w:szCs w:val="23"/>
              </w:rPr>
            </w:pPr>
            <w:r w:rsidRPr="001707CF">
              <w:rPr>
                <w:rFonts w:ascii="Tahoma" w:hAnsi="Tahoma" w:cs="Tahoma"/>
                <w:b/>
                <w:bCs/>
                <w:sz w:val="23"/>
                <w:szCs w:val="23"/>
              </w:rPr>
              <w:t>4.937.951</w:t>
            </w:r>
          </w:p>
        </w:tc>
      </w:tr>
    </w:tbl>
    <w:p w14:paraId="501DDDD8" w14:textId="77777777" w:rsidR="00C165F8" w:rsidRPr="001707CF" w:rsidRDefault="00C165F8" w:rsidP="00C165F8">
      <w:pPr>
        <w:tabs>
          <w:tab w:val="left" w:pos="8647"/>
        </w:tabs>
        <w:spacing w:after="120"/>
        <w:ind w:right="426"/>
        <w:jc w:val="right"/>
        <w:rPr>
          <w:rFonts w:ascii="Tahoma" w:hAnsi="Tahoma" w:cs="Tahoma"/>
          <w:i/>
          <w:sz w:val="23"/>
          <w:szCs w:val="23"/>
          <w:lang w:val="sr-Latn-BA"/>
        </w:rPr>
      </w:pPr>
    </w:p>
    <w:p w14:paraId="24D48235" w14:textId="77777777" w:rsidR="00C165F8" w:rsidRPr="001707CF" w:rsidRDefault="00C165F8" w:rsidP="00C165F8">
      <w:pPr>
        <w:autoSpaceDE w:val="0"/>
        <w:autoSpaceDN w:val="0"/>
        <w:adjustRightInd w:val="0"/>
        <w:spacing w:after="120"/>
        <w:jc w:val="both"/>
        <w:rPr>
          <w:rFonts w:ascii="Tahoma" w:hAnsi="Tahoma" w:cs="Tahoma"/>
          <w:sz w:val="23"/>
          <w:szCs w:val="23"/>
          <w:lang w:val="sr-Latn-BA"/>
        </w:rPr>
      </w:pPr>
      <w:r w:rsidRPr="001707CF">
        <w:rPr>
          <w:rFonts w:ascii="Tahoma" w:hAnsi="Tahoma" w:cs="Tahoma"/>
          <w:sz w:val="23"/>
          <w:szCs w:val="23"/>
          <w:lang w:val="sr-Latn-BA"/>
        </w:rPr>
        <w:t xml:space="preserve">Ulaganja Fonda su klasifikovana kao finansijska sredstva </w:t>
      </w:r>
      <w:r w:rsidRPr="001707CF">
        <w:rPr>
          <w:rFonts w:ascii="Tahoma" w:hAnsi="Tahoma" w:cs="Tahoma"/>
          <w:sz w:val="23"/>
          <w:szCs w:val="23"/>
        </w:rPr>
        <w:t xml:space="preserve">po </w:t>
      </w:r>
      <w:proofErr w:type="spellStart"/>
      <w:r w:rsidRPr="001707CF">
        <w:rPr>
          <w:rFonts w:ascii="Tahoma" w:hAnsi="Tahoma" w:cs="Tahoma"/>
          <w:sz w:val="23"/>
          <w:szCs w:val="23"/>
        </w:rPr>
        <w:t>fer</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vrijednosti</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kroz</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ostali</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sveobuhvatni</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rezultat</w:t>
      </w:r>
      <w:proofErr w:type="spellEnd"/>
      <w:r w:rsidRPr="001707CF">
        <w:rPr>
          <w:rFonts w:ascii="Tahoma" w:hAnsi="Tahoma" w:cs="Tahoma"/>
          <w:sz w:val="23"/>
          <w:szCs w:val="23"/>
          <w:lang w:val="sr-Latn-BA"/>
        </w:rPr>
        <w:t xml:space="preserve"> na dan sastavljanja finansijskih izveštaja, u skladu sa MSFI 9. Klasifikacija finansijskih sredstava se vrši na osnovu odluka Društva za upravljanje.</w:t>
      </w:r>
    </w:p>
    <w:p w14:paraId="079403D3" w14:textId="77777777" w:rsidR="00C165F8" w:rsidRPr="001707CF" w:rsidRDefault="00C165F8" w:rsidP="00C165F8">
      <w:pPr>
        <w:autoSpaceDE w:val="0"/>
        <w:autoSpaceDN w:val="0"/>
        <w:adjustRightInd w:val="0"/>
        <w:spacing w:after="120"/>
        <w:jc w:val="both"/>
        <w:rPr>
          <w:rFonts w:ascii="Tahoma" w:hAnsi="Tahoma" w:cs="Tahoma"/>
          <w:sz w:val="23"/>
          <w:szCs w:val="23"/>
          <w:lang w:val="sr-Latn-BA"/>
        </w:rPr>
      </w:pPr>
      <w:bookmarkStart w:id="4" w:name="_Hlk101267944"/>
      <w:r w:rsidRPr="001707CF">
        <w:rPr>
          <w:rFonts w:ascii="Tahoma" w:hAnsi="Tahoma" w:cs="Tahoma"/>
          <w:sz w:val="23"/>
          <w:szCs w:val="23"/>
          <w:lang w:val="sr-Latn-BA"/>
        </w:rPr>
        <w:t xml:space="preserve">Najznačajnija ulaganja u hartije od vrijednosti klasifikovane </w:t>
      </w:r>
      <w:r w:rsidRPr="001707CF">
        <w:rPr>
          <w:rFonts w:ascii="Tahoma" w:hAnsi="Tahoma" w:cs="Tahoma"/>
          <w:sz w:val="23"/>
          <w:szCs w:val="23"/>
        </w:rPr>
        <w:t xml:space="preserve">po </w:t>
      </w:r>
      <w:proofErr w:type="spellStart"/>
      <w:r w:rsidRPr="001707CF">
        <w:rPr>
          <w:rFonts w:ascii="Tahoma" w:hAnsi="Tahoma" w:cs="Tahoma"/>
          <w:sz w:val="23"/>
          <w:szCs w:val="23"/>
        </w:rPr>
        <w:t>fer</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vrijednosti</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kroz</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ostali</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sveobuhvatni</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rezultat</w:t>
      </w:r>
      <w:proofErr w:type="spellEnd"/>
      <w:r w:rsidRPr="001707CF">
        <w:rPr>
          <w:rFonts w:ascii="Tahoma" w:hAnsi="Tahoma" w:cs="Tahoma"/>
          <w:sz w:val="23"/>
          <w:szCs w:val="23"/>
          <w:lang w:val="sr-Latn-BA"/>
        </w:rPr>
        <w:t xml:space="preserve"> na dan 31.12.</w:t>
      </w:r>
      <w:r>
        <w:rPr>
          <w:rFonts w:ascii="Tahoma" w:hAnsi="Tahoma" w:cs="Tahoma"/>
          <w:sz w:val="23"/>
          <w:szCs w:val="23"/>
          <w:lang w:val="sr-Latn-BA"/>
        </w:rPr>
        <w:t>2024</w:t>
      </w:r>
      <w:r w:rsidRPr="001707CF">
        <w:rPr>
          <w:rFonts w:ascii="Tahoma" w:hAnsi="Tahoma" w:cs="Tahoma"/>
          <w:sz w:val="23"/>
          <w:szCs w:val="23"/>
          <w:lang w:val="sr-Latn-BA"/>
        </w:rPr>
        <w:t>. godine odnose se na</w:t>
      </w:r>
      <w:bookmarkEnd w:id="4"/>
      <w:r w:rsidRPr="001707CF">
        <w:rPr>
          <w:rFonts w:ascii="Tahoma" w:hAnsi="Tahoma" w:cs="Tahoma"/>
          <w:sz w:val="23"/>
          <w:szCs w:val="23"/>
          <w:lang w:val="sr-Latn-BA"/>
        </w:rPr>
        <w:t>:</w:t>
      </w:r>
    </w:p>
    <w:tbl>
      <w:tblPr>
        <w:tblW w:w="8222" w:type="dxa"/>
        <w:jc w:val="center"/>
        <w:tblLook w:val="04A0" w:firstRow="1" w:lastRow="0" w:firstColumn="1" w:lastColumn="0" w:noHBand="0" w:noVBand="1"/>
      </w:tblPr>
      <w:tblGrid>
        <w:gridCol w:w="3544"/>
        <w:gridCol w:w="1276"/>
        <w:gridCol w:w="1559"/>
        <w:gridCol w:w="1843"/>
      </w:tblGrid>
      <w:tr w:rsidR="00C165F8" w:rsidRPr="001707CF" w14:paraId="54A7F1D1" w14:textId="77777777" w:rsidTr="008558ED">
        <w:trPr>
          <w:trHeight w:val="480"/>
          <w:tblHeader/>
          <w:jc w:val="center"/>
        </w:trPr>
        <w:tc>
          <w:tcPr>
            <w:tcW w:w="3544" w:type="dxa"/>
            <w:tcBorders>
              <w:top w:val="single" w:sz="4" w:space="0" w:color="auto"/>
              <w:left w:val="nil"/>
              <w:bottom w:val="single" w:sz="4" w:space="0" w:color="auto"/>
              <w:right w:val="nil"/>
            </w:tcBorders>
            <w:shd w:val="clear" w:color="auto" w:fill="auto"/>
            <w:noWrap/>
            <w:vAlign w:val="center"/>
            <w:hideMark/>
          </w:tcPr>
          <w:p w14:paraId="54635D97" w14:textId="77777777" w:rsidR="00C165F8" w:rsidRPr="001707CF" w:rsidRDefault="00C165F8" w:rsidP="008558ED">
            <w:pPr>
              <w:jc w:val="center"/>
              <w:rPr>
                <w:rFonts w:ascii="Tahoma" w:hAnsi="Tahoma" w:cs="Tahoma"/>
                <w:i/>
                <w:iCs/>
                <w:sz w:val="22"/>
                <w:szCs w:val="22"/>
                <w:lang w:val="sr-Latn-BA" w:eastAsia="sr-Latn-BA"/>
              </w:rPr>
            </w:pPr>
            <w:r w:rsidRPr="001707CF">
              <w:rPr>
                <w:rFonts w:ascii="Tahoma" w:hAnsi="Tahoma" w:cs="Tahoma"/>
                <w:i/>
                <w:iCs/>
                <w:sz w:val="22"/>
                <w:szCs w:val="22"/>
                <w:lang w:val="sr-Latn-BA"/>
              </w:rPr>
              <w:t>Naziv emitenta</w:t>
            </w:r>
          </w:p>
        </w:tc>
        <w:tc>
          <w:tcPr>
            <w:tcW w:w="1276" w:type="dxa"/>
            <w:tcBorders>
              <w:top w:val="single" w:sz="4" w:space="0" w:color="auto"/>
              <w:left w:val="nil"/>
              <w:bottom w:val="single" w:sz="4" w:space="0" w:color="auto"/>
              <w:right w:val="nil"/>
            </w:tcBorders>
            <w:shd w:val="clear" w:color="auto" w:fill="auto"/>
            <w:vAlign w:val="center"/>
            <w:hideMark/>
          </w:tcPr>
          <w:p w14:paraId="030A3C95" w14:textId="77777777" w:rsidR="00C165F8" w:rsidRPr="001707CF" w:rsidRDefault="00C165F8" w:rsidP="008558ED">
            <w:pPr>
              <w:jc w:val="center"/>
              <w:rPr>
                <w:rFonts w:ascii="Tahoma" w:hAnsi="Tahoma" w:cs="Tahoma"/>
                <w:i/>
                <w:iCs/>
                <w:color w:val="000000"/>
                <w:sz w:val="22"/>
                <w:szCs w:val="22"/>
                <w:lang w:val="sr-Latn-BA"/>
              </w:rPr>
            </w:pPr>
            <w:r w:rsidRPr="001707CF">
              <w:rPr>
                <w:rFonts w:ascii="Tahoma" w:hAnsi="Tahoma" w:cs="Tahoma"/>
                <w:i/>
                <w:iCs/>
                <w:color w:val="000000"/>
                <w:sz w:val="22"/>
                <w:szCs w:val="22"/>
                <w:lang w:val="sr-Latn-BA"/>
              </w:rPr>
              <w:t>Oznaka HOV</w:t>
            </w:r>
          </w:p>
        </w:tc>
        <w:tc>
          <w:tcPr>
            <w:tcW w:w="1559" w:type="dxa"/>
            <w:tcBorders>
              <w:top w:val="single" w:sz="4" w:space="0" w:color="auto"/>
              <w:left w:val="nil"/>
              <w:bottom w:val="single" w:sz="4" w:space="0" w:color="auto"/>
              <w:right w:val="nil"/>
            </w:tcBorders>
            <w:shd w:val="clear" w:color="auto" w:fill="auto"/>
            <w:vAlign w:val="center"/>
            <w:hideMark/>
          </w:tcPr>
          <w:p w14:paraId="3AC2C19F" w14:textId="77777777" w:rsidR="00C165F8" w:rsidRPr="001707CF" w:rsidRDefault="00C165F8" w:rsidP="008558ED">
            <w:pPr>
              <w:jc w:val="center"/>
              <w:rPr>
                <w:rFonts w:ascii="Tahoma" w:hAnsi="Tahoma" w:cs="Tahoma"/>
                <w:i/>
                <w:iCs/>
                <w:color w:val="000000"/>
                <w:sz w:val="22"/>
                <w:szCs w:val="22"/>
                <w:lang w:val="sr-Latn-BA"/>
              </w:rPr>
            </w:pPr>
            <w:r w:rsidRPr="001707CF">
              <w:rPr>
                <w:rFonts w:ascii="Tahoma" w:hAnsi="Tahoma" w:cs="Tahoma"/>
                <w:i/>
                <w:iCs/>
                <w:color w:val="000000"/>
                <w:sz w:val="22"/>
                <w:szCs w:val="22"/>
                <w:lang w:val="sr-Latn-BA"/>
              </w:rPr>
              <w:t>Fer vrijednost 31.12.</w:t>
            </w:r>
            <w:r>
              <w:rPr>
                <w:rFonts w:ascii="Tahoma" w:hAnsi="Tahoma" w:cs="Tahoma"/>
                <w:i/>
                <w:iCs/>
                <w:color w:val="000000"/>
                <w:sz w:val="22"/>
                <w:szCs w:val="22"/>
                <w:lang w:val="sr-Latn-BA"/>
              </w:rPr>
              <w:t>2024</w:t>
            </w:r>
            <w:r w:rsidRPr="001707CF">
              <w:rPr>
                <w:rFonts w:ascii="Tahoma" w:hAnsi="Tahoma" w:cs="Tahoma"/>
                <w:i/>
                <w:iCs/>
                <w:color w:val="000000"/>
                <w:sz w:val="22"/>
                <w:szCs w:val="22"/>
                <w:lang w:val="sr-Latn-BA"/>
              </w:rPr>
              <w:t>.</w:t>
            </w:r>
          </w:p>
        </w:tc>
        <w:tc>
          <w:tcPr>
            <w:tcW w:w="1843" w:type="dxa"/>
            <w:tcBorders>
              <w:top w:val="single" w:sz="4" w:space="0" w:color="auto"/>
              <w:left w:val="nil"/>
              <w:bottom w:val="single" w:sz="4" w:space="0" w:color="auto"/>
              <w:right w:val="nil"/>
            </w:tcBorders>
            <w:shd w:val="clear" w:color="auto" w:fill="auto"/>
            <w:vAlign w:val="center"/>
            <w:hideMark/>
          </w:tcPr>
          <w:p w14:paraId="5C8AD205" w14:textId="77777777" w:rsidR="00C165F8" w:rsidRPr="001707CF" w:rsidRDefault="00C165F8" w:rsidP="008558ED">
            <w:pPr>
              <w:jc w:val="center"/>
              <w:rPr>
                <w:rFonts w:ascii="Tahoma" w:hAnsi="Tahoma" w:cs="Tahoma"/>
                <w:i/>
                <w:iCs/>
                <w:color w:val="000000"/>
                <w:sz w:val="22"/>
                <w:szCs w:val="22"/>
                <w:lang w:val="sr-Latn-BA"/>
              </w:rPr>
            </w:pPr>
            <w:r w:rsidRPr="001707CF">
              <w:rPr>
                <w:rFonts w:ascii="Tahoma" w:hAnsi="Tahoma" w:cs="Tahoma"/>
                <w:i/>
                <w:iCs/>
                <w:color w:val="000000"/>
                <w:sz w:val="22"/>
                <w:szCs w:val="22"/>
                <w:lang w:val="sr-Latn-BA"/>
              </w:rPr>
              <w:t>% vrijednosti imovine Fonda</w:t>
            </w:r>
          </w:p>
        </w:tc>
      </w:tr>
      <w:tr w:rsidR="00C165F8" w:rsidRPr="001707CF" w14:paraId="5FA87CDA" w14:textId="77777777" w:rsidTr="008558ED">
        <w:trPr>
          <w:trHeight w:val="285"/>
          <w:jc w:val="center"/>
        </w:trPr>
        <w:tc>
          <w:tcPr>
            <w:tcW w:w="3544" w:type="dxa"/>
            <w:tcBorders>
              <w:top w:val="nil"/>
              <w:left w:val="nil"/>
              <w:bottom w:val="nil"/>
              <w:right w:val="nil"/>
            </w:tcBorders>
            <w:shd w:val="clear" w:color="auto" w:fill="auto"/>
            <w:noWrap/>
            <w:vAlign w:val="bottom"/>
          </w:tcPr>
          <w:p w14:paraId="49F4BD43" w14:textId="77777777" w:rsidR="00C165F8" w:rsidRPr="001707CF" w:rsidRDefault="00C165F8" w:rsidP="008558ED">
            <w:pPr>
              <w:rPr>
                <w:rFonts w:ascii="Tahoma" w:hAnsi="Tahoma" w:cs="Tahoma"/>
                <w:b/>
                <w:bCs/>
                <w:color w:val="000000"/>
                <w:sz w:val="22"/>
                <w:szCs w:val="22"/>
                <w:lang w:val="sr-Latn-BA"/>
              </w:rPr>
            </w:pPr>
            <w:r w:rsidRPr="001707CF">
              <w:rPr>
                <w:rFonts w:ascii="Tahoma" w:hAnsi="Tahoma" w:cs="Tahoma"/>
                <w:b/>
                <w:bCs/>
                <w:color w:val="000000"/>
                <w:sz w:val="22"/>
                <w:szCs w:val="22"/>
                <w:lang w:val="sr-Latn-BA"/>
              </w:rPr>
              <w:t>Akcije</w:t>
            </w:r>
          </w:p>
        </w:tc>
        <w:tc>
          <w:tcPr>
            <w:tcW w:w="1276" w:type="dxa"/>
            <w:tcBorders>
              <w:top w:val="nil"/>
              <w:left w:val="nil"/>
              <w:bottom w:val="nil"/>
              <w:right w:val="nil"/>
            </w:tcBorders>
            <w:shd w:val="clear" w:color="auto" w:fill="auto"/>
            <w:noWrap/>
            <w:vAlign w:val="bottom"/>
          </w:tcPr>
          <w:p w14:paraId="4D0D811D" w14:textId="77777777" w:rsidR="00C165F8" w:rsidRPr="001707CF" w:rsidRDefault="00C165F8" w:rsidP="008558ED">
            <w:pPr>
              <w:jc w:val="center"/>
              <w:rPr>
                <w:rFonts w:ascii="Tahoma" w:hAnsi="Tahoma" w:cs="Tahoma"/>
                <w:color w:val="000000"/>
                <w:sz w:val="22"/>
                <w:szCs w:val="22"/>
                <w:lang w:val="sr-Latn-BA"/>
              </w:rPr>
            </w:pPr>
          </w:p>
        </w:tc>
        <w:tc>
          <w:tcPr>
            <w:tcW w:w="1559" w:type="dxa"/>
            <w:tcBorders>
              <w:top w:val="nil"/>
              <w:left w:val="nil"/>
              <w:bottom w:val="nil"/>
              <w:right w:val="nil"/>
            </w:tcBorders>
            <w:shd w:val="clear" w:color="auto" w:fill="auto"/>
            <w:noWrap/>
            <w:vAlign w:val="bottom"/>
          </w:tcPr>
          <w:p w14:paraId="1A1F2435" w14:textId="77777777" w:rsidR="00C165F8" w:rsidRPr="001707CF" w:rsidRDefault="00C165F8" w:rsidP="008558ED">
            <w:pPr>
              <w:jc w:val="right"/>
              <w:rPr>
                <w:rFonts w:ascii="Tahoma" w:hAnsi="Tahoma" w:cs="Tahoma"/>
                <w:color w:val="000000"/>
                <w:sz w:val="22"/>
                <w:szCs w:val="22"/>
                <w:lang w:val="sr-Latn-BA"/>
              </w:rPr>
            </w:pPr>
          </w:p>
        </w:tc>
        <w:tc>
          <w:tcPr>
            <w:tcW w:w="1843" w:type="dxa"/>
            <w:tcBorders>
              <w:top w:val="nil"/>
              <w:left w:val="nil"/>
              <w:bottom w:val="nil"/>
              <w:right w:val="nil"/>
            </w:tcBorders>
            <w:shd w:val="clear" w:color="auto" w:fill="auto"/>
            <w:noWrap/>
            <w:vAlign w:val="bottom"/>
          </w:tcPr>
          <w:p w14:paraId="37BCC398" w14:textId="77777777" w:rsidR="00C165F8" w:rsidRPr="001707CF" w:rsidRDefault="00C165F8" w:rsidP="008558ED">
            <w:pPr>
              <w:jc w:val="right"/>
              <w:rPr>
                <w:rFonts w:ascii="Tahoma" w:hAnsi="Tahoma" w:cs="Tahoma"/>
                <w:color w:val="000000"/>
                <w:sz w:val="22"/>
                <w:szCs w:val="22"/>
                <w:lang w:val="sr-Latn-BA"/>
              </w:rPr>
            </w:pPr>
          </w:p>
        </w:tc>
      </w:tr>
      <w:tr w:rsidR="00C165F8" w:rsidRPr="001707CF" w14:paraId="2740D8E8" w14:textId="77777777" w:rsidTr="008558ED">
        <w:trPr>
          <w:trHeight w:val="285"/>
          <w:jc w:val="center"/>
        </w:trPr>
        <w:tc>
          <w:tcPr>
            <w:tcW w:w="3544" w:type="dxa"/>
            <w:tcBorders>
              <w:top w:val="nil"/>
              <w:left w:val="nil"/>
              <w:bottom w:val="nil"/>
              <w:right w:val="nil"/>
            </w:tcBorders>
            <w:shd w:val="clear" w:color="auto" w:fill="auto"/>
            <w:noWrap/>
            <w:vAlign w:val="bottom"/>
          </w:tcPr>
          <w:p w14:paraId="5DCAA0D8" w14:textId="77777777" w:rsidR="00C165F8" w:rsidRPr="001707CF" w:rsidRDefault="00C165F8" w:rsidP="008558ED">
            <w:pPr>
              <w:rPr>
                <w:rFonts w:ascii="Tahoma" w:hAnsi="Tahoma" w:cs="Tahoma"/>
                <w:color w:val="000000"/>
                <w:sz w:val="23"/>
                <w:szCs w:val="23"/>
                <w:lang w:val="sr-Latn-BA"/>
              </w:rPr>
            </w:pPr>
            <w:r w:rsidRPr="001707CF">
              <w:rPr>
                <w:rFonts w:ascii="Tahoma" w:hAnsi="Tahoma" w:cs="Tahoma"/>
                <w:color w:val="000000"/>
                <w:sz w:val="23"/>
                <w:szCs w:val="23"/>
                <w:lang w:val="sr-Latn-BA"/>
              </w:rPr>
              <w:t>Hidroelektrane na Drini a.d.</w:t>
            </w:r>
          </w:p>
        </w:tc>
        <w:tc>
          <w:tcPr>
            <w:tcW w:w="1276" w:type="dxa"/>
            <w:tcBorders>
              <w:top w:val="nil"/>
              <w:left w:val="nil"/>
              <w:bottom w:val="nil"/>
              <w:right w:val="nil"/>
            </w:tcBorders>
            <w:shd w:val="clear" w:color="auto" w:fill="auto"/>
            <w:noWrap/>
            <w:vAlign w:val="bottom"/>
          </w:tcPr>
          <w:p w14:paraId="41895CA7" w14:textId="77777777" w:rsidR="00C165F8" w:rsidRPr="001707CF" w:rsidRDefault="00C165F8" w:rsidP="008558ED">
            <w:pPr>
              <w:jc w:val="center"/>
              <w:rPr>
                <w:rFonts w:ascii="Tahoma" w:hAnsi="Tahoma" w:cs="Tahoma"/>
                <w:color w:val="000000"/>
                <w:sz w:val="23"/>
                <w:szCs w:val="23"/>
                <w:lang w:val="sr-Latn-BA"/>
              </w:rPr>
            </w:pPr>
            <w:r w:rsidRPr="001707CF">
              <w:rPr>
                <w:rFonts w:ascii="Tahoma" w:hAnsi="Tahoma" w:cs="Tahoma"/>
                <w:color w:val="000000"/>
                <w:sz w:val="23"/>
                <w:szCs w:val="23"/>
                <w:lang w:val="sr-Latn-BA"/>
              </w:rPr>
              <w:t>HEDR-R-A</w:t>
            </w:r>
          </w:p>
        </w:tc>
        <w:tc>
          <w:tcPr>
            <w:tcW w:w="1559" w:type="dxa"/>
            <w:tcBorders>
              <w:top w:val="nil"/>
              <w:left w:val="nil"/>
              <w:bottom w:val="nil"/>
              <w:right w:val="nil"/>
            </w:tcBorders>
            <w:shd w:val="clear" w:color="auto" w:fill="auto"/>
            <w:noWrap/>
          </w:tcPr>
          <w:p w14:paraId="4DB458DF" w14:textId="77777777" w:rsidR="00C165F8" w:rsidRPr="001707CF" w:rsidRDefault="00C165F8" w:rsidP="008558ED">
            <w:pPr>
              <w:jc w:val="right"/>
              <w:rPr>
                <w:rFonts w:ascii="Tahoma" w:hAnsi="Tahoma" w:cs="Tahoma"/>
                <w:color w:val="000000"/>
                <w:sz w:val="23"/>
                <w:szCs w:val="23"/>
                <w:lang w:val="sr-Latn-BA"/>
              </w:rPr>
            </w:pPr>
            <w:r>
              <w:rPr>
                <w:rFonts w:ascii="Tahoma" w:hAnsi="Tahoma" w:cs="Tahoma"/>
                <w:color w:val="000000"/>
                <w:sz w:val="23"/>
                <w:szCs w:val="23"/>
              </w:rPr>
              <w:t>1.817.683</w:t>
            </w:r>
          </w:p>
        </w:tc>
        <w:tc>
          <w:tcPr>
            <w:tcW w:w="1843" w:type="dxa"/>
            <w:tcBorders>
              <w:top w:val="nil"/>
              <w:left w:val="nil"/>
              <w:bottom w:val="nil"/>
              <w:right w:val="nil"/>
            </w:tcBorders>
            <w:shd w:val="clear" w:color="auto" w:fill="auto"/>
            <w:noWrap/>
            <w:vAlign w:val="bottom"/>
          </w:tcPr>
          <w:p w14:paraId="1AC23390" w14:textId="77777777" w:rsidR="00C165F8" w:rsidRPr="001707CF" w:rsidRDefault="00C165F8" w:rsidP="008558ED">
            <w:pPr>
              <w:jc w:val="right"/>
              <w:rPr>
                <w:rFonts w:ascii="Tahoma" w:hAnsi="Tahoma" w:cs="Tahoma"/>
                <w:color w:val="000000"/>
                <w:sz w:val="23"/>
                <w:szCs w:val="23"/>
                <w:lang w:val="sr-Latn-BA"/>
              </w:rPr>
            </w:pPr>
            <w:r>
              <w:rPr>
                <w:rFonts w:ascii="Tahoma" w:hAnsi="Tahoma" w:cs="Tahoma"/>
                <w:sz w:val="23"/>
                <w:szCs w:val="23"/>
              </w:rPr>
              <w:t>27,49%</w:t>
            </w:r>
          </w:p>
        </w:tc>
      </w:tr>
      <w:tr w:rsidR="00C165F8" w:rsidRPr="001707CF" w14:paraId="51710662" w14:textId="77777777" w:rsidTr="008558ED">
        <w:trPr>
          <w:trHeight w:val="285"/>
          <w:jc w:val="center"/>
        </w:trPr>
        <w:tc>
          <w:tcPr>
            <w:tcW w:w="3544" w:type="dxa"/>
            <w:tcBorders>
              <w:top w:val="nil"/>
              <w:left w:val="nil"/>
              <w:bottom w:val="nil"/>
              <w:right w:val="nil"/>
            </w:tcBorders>
            <w:shd w:val="clear" w:color="auto" w:fill="auto"/>
            <w:noWrap/>
            <w:vAlign w:val="bottom"/>
          </w:tcPr>
          <w:p w14:paraId="7DCDFB98" w14:textId="77777777" w:rsidR="00C165F8" w:rsidRPr="001707CF" w:rsidRDefault="00C165F8" w:rsidP="008558ED">
            <w:pPr>
              <w:rPr>
                <w:rFonts w:ascii="Tahoma" w:hAnsi="Tahoma" w:cs="Tahoma"/>
                <w:color w:val="000000"/>
                <w:sz w:val="23"/>
                <w:szCs w:val="23"/>
                <w:lang w:val="sr-Latn-BA"/>
              </w:rPr>
            </w:pPr>
            <w:r w:rsidRPr="001707CF">
              <w:rPr>
                <w:rFonts w:ascii="Tahoma" w:hAnsi="Tahoma" w:cs="Tahoma"/>
                <w:color w:val="000000"/>
                <w:sz w:val="23"/>
                <w:szCs w:val="23"/>
                <w:lang w:val="sr-Latn-BA"/>
              </w:rPr>
              <w:t>Hidoelektrane na Trebišnjici a.d.</w:t>
            </w:r>
          </w:p>
        </w:tc>
        <w:tc>
          <w:tcPr>
            <w:tcW w:w="1276" w:type="dxa"/>
            <w:tcBorders>
              <w:top w:val="nil"/>
              <w:left w:val="nil"/>
              <w:bottom w:val="nil"/>
              <w:right w:val="nil"/>
            </w:tcBorders>
            <w:shd w:val="clear" w:color="auto" w:fill="auto"/>
            <w:noWrap/>
            <w:vAlign w:val="bottom"/>
          </w:tcPr>
          <w:p w14:paraId="6239E2B7" w14:textId="77777777" w:rsidR="00C165F8" w:rsidRPr="001707CF" w:rsidRDefault="00C165F8" w:rsidP="008558ED">
            <w:pPr>
              <w:jc w:val="center"/>
              <w:rPr>
                <w:rFonts w:ascii="Tahoma" w:hAnsi="Tahoma" w:cs="Tahoma"/>
                <w:color w:val="000000"/>
                <w:sz w:val="23"/>
                <w:szCs w:val="23"/>
                <w:lang w:val="sr-Latn-BA"/>
              </w:rPr>
            </w:pPr>
            <w:r w:rsidRPr="001707CF">
              <w:rPr>
                <w:rFonts w:ascii="Tahoma" w:hAnsi="Tahoma" w:cs="Tahoma"/>
                <w:color w:val="000000"/>
                <w:sz w:val="23"/>
                <w:szCs w:val="23"/>
                <w:lang w:val="sr-Latn-BA"/>
              </w:rPr>
              <w:t>HETR-R-A</w:t>
            </w:r>
          </w:p>
        </w:tc>
        <w:tc>
          <w:tcPr>
            <w:tcW w:w="1559" w:type="dxa"/>
            <w:tcBorders>
              <w:top w:val="nil"/>
              <w:left w:val="nil"/>
              <w:bottom w:val="nil"/>
              <w:right w:val="nil"/>
            </w:tcBorders>
            <w:shd w:val="clear" w:color="auto" w:fill="auto"/>
            <w:noWrap/>
          </w:tcPr>
          <w:p w14:paraId="61BB60EB" w14:textId="77777777" w:rsidR="00C165F8" w:rsidRPr="001707CF" w:rsidRDefault="00C165F8" w:rsidP="008558ED">
            <w:pPr>
              <w:jc w:val="right"/>
              <w:rPr>
                <w:rFonts w:ascii="Tahoma" w:hAnsi="Tahoma" w:cs="Tahoma"/>
                <w:color w:val="000000"/>
                <w:sz w:val="23"/>
                <w:szCs w:val="23"/>
                <w:lang w:val="sr-Latn-BA"/>
              </w:rPr>
            </w:pPr>
            <w:r>
              <w:rPr>
                <w:rFonts w:ascii="Tahoma" w:hAnsi="Tahoma" w:cs="Tahoma"/>
                <w:color w:val="000000"/>
                <w:sz w:val="23"/>
                <w:szCs w:val="23"/>
              </w:rPr>
              <w:t>804.440</w:t>
            </w:r>
          </w:p>
        </w:tc>
        <w:tc>
          <w:tcPr>
            <w:tcW w:w="1843" w:type="dxa"/>
            <w:tcBorders>
              <w:top w:val="nil"/>
              <w:left w:val="nil"/>
              <w:bottom w:val="nil"/>
              <w:right w:val="nil"/>
            </w:tcBorders>
            <w:shd w:val="clear" w:color="auto" w:fill="auto"/>
            <w:noWrap/>
            <w:vAlign w:val="bottom"/>
          </w:tcPr>
          <w:p w14:paraId="6C81FA6D" w14:textId="77777777" w:rsidR="00C165F8" w:rsidRPr="001707CF" w:rsidRDefault="00C165F8" w:rsidP="008558ED">
            <w:pPr>
              <w:jc w:val="right"/>
              <w:rPr>
                <w:rFonts w:ascii="Tahoma" w:hAnsi="Tahoma" w:cs="Tahoma"/>
                <w:color w:val="000000"/>
                <w:sz w:val="23"/>
                <w:szCs w:val="23"/>
                <w:lang w:val="sr-Latn-BA"/>
              </w:rPr>
            </w:pPr>
            <w:r>
              <w:rPr>
                <w:rFonts w:ascii="Tahoma" w:hAnsi="Tahoma" w:cs="Tahoma"/>
                <w:sz w:val="23"/>
                <w:szCs w:val="23"/>
              </w:rPr>
              <w:t>12,17%</w:t>
            </w:r>
          </w:p>
        </w:tc>
      </w:tr>
      <w:tr w:rsidR="00C165F8" w:rsidRPr="001707CF" w14:paraId="5B26A109" w14:textId="77777777" w:rsidTr="008558ED">
        <w:trPr>
          <w:trHeight w:val="285"/>
          <w:jc w:val="center"/>
        </w:trPr>
        <w:tc>
          <w:tcPr>
            <w:tcW w:w="3544" w:type="dxa"/>
            <w:tcBorders>
              <w:top w:val="nil"/>
              <w:left w:val="nil"/>
              <w:bottom w:val="nil"/>
              <w:right w:val="nil"/>
            </w:tcBorders>
            <w:shd w:val="clear" w:color="auto" w:fill="auto"/>
            <w:noWrap/>
            <w:vAlign w:val="bottom"/>
          </w:tcPr>
          <w:p w14:paraId="780EAEE5" w14:textId="77777777" w:rsidR="00C165F8" w:rsidRPr="001707CF" w:rsidRDefault="00C165F8" w:rsidP="008558ED">
            <w:pPr>
              <w:rPr>
                <w:rFonts w:ascii="Tahoma" w:hAnsi="Tahoma" w:cs="Tahoma"/>
                <w:color w:val="000000"/>
                <w:sz w:val="23"/>
                <w:szCs w:val="23"/>
                <w:lang w:val="sr-Latn-BA"/>
              </w:rPr>
            </w:pPr>
            <w:r w:rsidRPr="001707CF">
              <w:rPr>
                <w:rFonts w:ascii="Tahoma" w:hAnsi="Tahoma" w:cs="Tahoma"/>
                <w:color w:val="000000"/>
                <w:sz w:val="23"/>
                <w:szCs w:val="23"/>
                <w:lang w:val="sr-Latn-BA"/>
              </w:rPr>
              <w:t>Telekom Srpske a.d.</w:t>
            </w:r>
          </w:p>
        </w:tc>
        <w:tc>
          <w:tcPr>
            <w:tcW w:w="1276" w:type="dxa"/>
            <w:tcBorders>
              <w:top w:val="nil"/>
              <w:left w:val="nil"/>
              <w:bottom w:val="nil"/>
              <w:right w:val="nil"/>
            </w:tcBorders>
            <w:shd w:val="clear" w:color="auto" w:fill="auto"/>
            <w:noWrap/>
            <w:vAlign w:val="bottom"/>
          </w:tcPr>
          <w:p w14:paraId="66588A77" w14:textId="77777777" w:rsidR="00C165F8" w:rsidRPr="001707CF" w:rsidRDefault="00C165F8" w:rsidP="008558ED">
            <w:pPr>
              <w:jc w:val="center"/>
              <w:rPr>
                <w:rFonts w:ascii="Tahoma" w:hAnsi="Tahoma" w:cs="Tahoma"/>
                <w:color w:val="000000"/>
                <w:sz w:val="23"/>
                <w:szCs w:val="23"/>
                <w:lang w:val="sr-Latn-BA"/>
              </w:rPr>
            </w:pPr>
            <w:r w:rsidRPr="001707CF">
              <w:rPr>
                <w:rFonts w:ascii="Tahoma" w:hAnsi="Tahoma" w:cs="Tahoma"/>
                <w:color w:val="000000"/>
                <w:sz w:val="23"/>
                <w:szCs w:val="23"/>
                <w:lang w:val="sr-Latn-BA"/>
              </w:rPr>
              <w:t>TLKM-R-A</w:t>
            </w:r>
          </w:p>
        </w:tc>
        <w:tc>
          <w:tcPr>
            <w:tcW w:w="1559" w:type="dxa"/>
            <w:tcBorders>
              <w:top w:val="nil"/>
              <w:left w:val="nil"/>
              <w:bottom w:val="nil"/>
              <w:right w:val="nil"/>
            </w:tcBorders>
            <w:shd w:val="clear" w:color="auto" w:fill="auto"/>
            <w:noWrap/>
          </w:tcPr>
          <w:p w14:paraId="6DC4DA0F" w14:textId="77777777" w:rsidR="00C165F8" w:rsidRPr="001707CF" w:rsidRDefault="00C165F8" w:rsidP="008558ED">
            <w:pPr>
              <w:jc w:val="right"/>
              <w:rPr>
                <w:rFonts w:ascii="Tahoma" w:hAnsi="Tahoma" w:cs="Tahoma"/>
                <w:color w:val="000000"/>
                <w:sz w:val="23"/>
                <w:szCs w:val="23"/>
                <w:lang w:val="sr-Latn-BA"/>
              </w:rPr>
            </w:pPr>
            <w:r>
              <w:rPr>
                <w:rFonts w:ascii="Tahoma" w:hAnsi="Tahoma" w:cs="Tahoma"/>
                <w:color w:val="000000"/>
                <w:sz w:val="23"/>
                <w:szCs w:val="23"/>
              </w:rPr>
              <w:t>474.790</w:t>
            </w:r>
          </w:p>
        </w:tc>
        <w:tc>
          <w:tcPr>
            <w:tcW w:w="1843" w:type="dxa"/>
            <w:tcBorders>
              <w:top w:val="nil"/>
              <w:left w:val="nil"/>
              <w:bottom w:val="nil"/>
              <w:right w:val="nil"/>
            </w:tcBorders>
            <w:shd w:val="clear" w:color="auto" w:fill="auto"/>
            <w:noWrap/>
            <w:vAlign w:val="bottom"/>
          </w:tcPr>
          <w:p w14:paraId="33EE61B1" w14:textId="77777777" w:rsidR="00C165F8" w:rsidRPr="001707CF" w:rsidRDefault="00C165F8" w:rsidP="008558ED">
            <w:pPr>
              <w:jc w:val="right"/>
              <w:rPr>
                <w:rFonts w:ascii="Tahoma" w:hAnsi="Tahoma" w:cs="Tahoma"/>
                <w:color w:val="000000"/>
                <w:sz w:val="23"/>
                <w:szCs w:val="23"/>
                <w:lang w:val="sr-Latn-BA"/>
              </w:rPr>
            </w:pPr>
            <w:r>
              <w:rPr>
                <w:rFonts w:ascii="Tahoma" w:hAnsi="Tahoma" w:cs="Tahoma"/>
                <w:sz w:val="23"/>
                <w:szCs w:val="23"/>
              </w:rPr>
              <w:t>7,18%</w:t>
            </w:r>
          </w:p>
        </w:tc>
      </w:tr>
      <w:tr w:rsidR="00C165F8" w:rsidRPr="001707CF" w14:paraId="3105E05C" w14:textId="77777777" w:rsidTr="008558ED">
        <w:trPr>
          <w:trHeight w:val="285"/>
          <w:jc w:val="center"/>
        </w:trPr>
        <w:tc>
          <w:tcPr>
            <w:tcW w:w="3544" w:type="dxa"/>
            <w:tcBorders>
              <w:top w:val="nil"/>
              <w:left w:val="nil"/>
              <w:bottom w:val="nil"/>
              <w:right w:val="nil"/>
            </w:tcBorders>
            <w:shd w:val="clear" w:color="auto" w:fill="auto"/>
            <w:noWrap/>
            <w:vAlign w:val="bottom"/>
          </w:tcPr>
          <w:p w14:paraId="73FCB906" w14:textId="77777777" w:rsidR="00C165F8" w:rsidRPr="001707CF" w:rsidRDefault="00C165F8" w:rsidP="008558ED">
            <w:pPr>
              <w:rPr>
                <w:rFonts w:ascii="Tahoma" w:hAnsi="Tahoma" w:cs="Tahoma"/>
                <w:color w:val="000000"/>
                <w:sz w:val="23"/>
                <w:szCs w:val="23"/>
                <w:lang w:val="sr-Latn-BA"/>
              </w:rPr>
            </w:pPr>
            <w:r w:rsidRPr="001707CF">
              <w:rPr>
                <w:rFonts w:ascii="Tahoma" w:hAnsi="Tahoma" w:cs="Tahoma"/>
                <w:color w:val="000000"/>
                <w:sz w:val="23"/>
                <w:szCs w:val="23"/>
                <w:lang w:val="sr-Latn-BA"/>
              </w:rPr>
              <w:t>Čajavec Mega a.d.</w:t>
            </w:r>
          </w:p>
        </w:tc>
        <w:tc>
          <w:tcPr>
            <w:tcW w:w="1276" w:type="dxa"/>
            <w:tcBorders>
              <w:top w:val="nil"/>
              <w:left w:val="nil"/>
              <w:bottom w:val="nil"/>
              <w:right w:val="nil"/>
            </w:tcBorders>
            <w:shd w:val="clear" w:color="auto" w:fill="auto"/>
            <w:noWrap/>
            <w:vAlign w:val="bottom"/>
          </w:tcPr>
          <w:p w14:paraId="41530474" w14:textId="77777777" w:rsidR="00C165F8" w:rsidRPr="001707CF" w:rsidRDefault="00C165F8" w:rsidP="008558ED">
            <w:pPr>
              <w:jc w:val="center"/>
              <w:rPr>
                <w:rFonts w:ascii="Tahoma" w:hAnsi="Tahoma" w:cs="Tahoma"/>
                <w:color w:val="000000"/>
                <w:sz w:val="23"/>
                <w:szCs w:val="23"/>
                <w:lang w:val="sr-Latn-BA"/>
              </w:rPr>
            </w:pPr>
            <w:r w:rsidRPr="001707CF">
              <w:rPr>
                <w:rFonts w:ascii="Tahoma" w:hAnsi="Tahoma" w:cs="Tahoma"/>
                <w:color w:val="000000"/>
                <w:sz w:val="23"/>
                <w:szCs w:val="23"/>
                <w:lang w:val="sr-Latn-BA"/>
              </w:rPr>
              <w:t>CMEG-R-A</w:t>
            </w:r>
          </w:p>
        </w:tc>
        <w:tc>
          <w:tcPr>
            <w:tcW w:w="1559" w:type="dxa"/>
            <w:tcBorders>
              <w:top w:val="nil"/>
              <w:left w:val="nil"/>
              <w:bottom w:val="nil"/>
              <w:right w:val="nil"/>
            </w:tcBorders>
            <w:shd w:val="clear" w:color="auto" w:fill="auto"/>
            <w:noWrap/>
          </w:tcPr>
          <w:p w14:paraId="28DEB7EC" w14:textId="77777777" w:rsidR="00C165F8" w:rsidRPr="001707CF" w:rsidRDefault="00C165F8" w:rsidP="008558ED">
            <w:pPr>
              <w:jc w:val="right"/>
              <w:rPr>
                <w:rFonts w:ascii="Tahoma" w:hAnsi="Tahoma" w:cs="Tahoma"/>
                <w:color w:val="000000"/>
                <w:sz w:val="23"/>
                <w:szCs w:val="23"/>
                <w:lang w:val="sr-Latn-BA"/>
              </w:rPr>
            </w:pPr>
            <w:r>
              <w:rPr>
                <w:rFonts w:ascii="Tahoma" w:hAnsi="Tahoma" w:cs="Tahoma"/>
                <w:color w:val="000000"/>
                <w:sz w:val="23"/>
                <w:szCs w:val="23"/>
              </w:rPr>
              <w:t>379.268</w:t>
            </w:r>
          </w:p>
        </w:tc>
        <w:tc>
          <w:tcPr>
            <w:tcW w:w="1843" w:type="dxa"/>
            <w:tcBorders>
              <w:top w:val="nil"/>
              <w:left w:val="nil"/>
              <w:bottom w:val="nil"/>
              <w:right w:val="nil"/>
            </w:tcBorders>
            <w:shd w:val="clear" w:color="auto" w:fill="auto"/>
            <w:noWrap/>
            <w:vAlign w:val="bottom"/>
          </w:tcPr>
          <w:p w14:paraId="0342B427" w14:textId="77777777" w:rsidR="00C165F8" w:rsidRPr="001707CF" w:rsidRDefault="00C165F8" w:rsidP="008558ED">
            <w:pPr>
              <w:jc w:val="right"/>
              <w:rPr>
                <w:rFonts w:ascii="Tahoma" w:hAnsi="Tahoma" w:cs="Tahoma"/>
                <w:color w:val="000000"/>
                <w:sz w:val="23"/>
                <w:szCs w:val="23"/>
                <w:lang w:val="sr-Latn-BA"/>
              </w:rPr>
            </w:pPr>
            <w:r>
              <w:rPr>
                <w:rFonts w:ascii="Tahoma" w:hAnsi="Tahoma" w:cs="Tahoma"/>
                <w:sz w:val="23"/>
                <w:szCs w:val="23"/>
              </w:rPr>
              <w:t>5,74%</w:t>
            </w:r>
          </w:p>
        </w:tc>
      </w:tr>
      <w:tr w:rsidR="00C165F8" w:rsidRPr="001707CF" w14:paraId="2604DA19" w14:textId="77777777" w:rsidTr="008558ED">
        <w:trPr>
          <w:trHeight w:val="285"/>
          <w:jc w:val="center"/>
        </w:trPr>
        <w:tc>
          <w:tcPr>
            <w:tcW w:w="3544" w:type="dxa"/>
            <w:tcBorders>
              <w:top w:val="nil"/>
              <w:left w:val="nil"/>
              <w:right w:val="nil"/>
            </w:tcBorders>
            <w:shd w:val="clear" w:color="auto" w:fill="auto"/>
            <w:noWrap/>
            <w:vAlign w:val="bottom"/>
          </w:tcPr>
          <w:p w14:paraId="497CF8FF" w14:textId="77777777" w:rsidR="00C165F8" w:rsidRPr="001707CF" w:rsidRDefault="00C165F8" w:rsidP="008558ED">
            <w:pPr>
              <w:rPr>
                <w:rFonts w:ascii="Tahoma" w:hAnsi="Tahoma" w:cs="Tahoma"/>
                <w:color w:val="000000"/>
                <w:sz w:val="23"/>
                <w:szCs w:val="23"/>
                <w:lang w:val="sr-Latn-BA"/>
              </w:rPr>
            </w:pPr>
            <w:r w:rsidRPr="001707CF">
              <w:rPr>
                <w:rFonts w:ascii="Tahoma" w:hAnsi="Tahoma" w:cs="Tahoma"/>
                <w:color w:val="000000"/>
                <w:sz w:val="23"/>
                <w:szCs w:val="23"/>
                <w:lang w:val="sr-Latn-BA"/>
              </w:rPr>
              <w:t>BH Telekom d.d.</w:t>
            </w:r>
          </w:p>
        </w:tc>
        <w:tc>
          <w:tcPr>
            <w:tcW w:w="1276" w:type="dxa"/>
            <w:tcBorders>
              <w:top w:val="nil"/>
              <w:left w:val="nil"/>
              <w:right w:val="nil"/>
            </w:tcBorders>
            <w:shd w:val="clear" w:color="auto" w:fill="auto"/>
            <w:noWrap/>
            <w:vAlign w:val="bottom"/>
          </w:tcPr>
          <w:p w14:paraId="5A693BBB" w14:textId="77777777" w:rsidR="00C165F8" w:rsidRPr="001707CF" w:rsidRDefault="00C165F8" w:rsidP="008558ED">
            <w:pPr>
              <w:jc w:val="center"/>
              <w:rPr>
                <w:rFonts w:ascii="Tahoma" w:hAnsi="Tahoma" w:cs="Tahoma"/>
                <w:color w:val="000000"/>
                <w:sz w:val="23"/>
                <w:szCs w:val="23"/>
                <w:lang w:val="sr-Latn-BA"/>
              </w:rPr>
            </w:pPr>
            <w:r w:rsidRPr="001707CF">
              <w:rPr>
                <w:rFonts w:ascii="Tahoma" w:hAnsi="Tahoma" w:cs="Tahoma"/>
                <w:color w:val="000000"/>
                <w:sz w:val="23"/>
                <w:szCs w:val="23"/>
                <w:lang w:val="sr-Latn-BA"/>
              </w:rPr>
              <w:t>BHTSR</w:t>
            </w:r>
          </w:p>
        </w:tc>
        <w:tc>
          <w:tcPr>
            <w:tcW w:w="1559" w:type="dxa"/>
            <w:tcBorders>
              <w:top w:val="nil"/>
              <w:left w:val="nil"/>
              <w:right w:val="nil"/>
            </w:tcBorders>
            <w:shd w:val="clear" w:color="auto" w:fill="auto"/>
            <w:noWrap/>
          </w:tcPr>
          <w:p w14:paraId="122560C2" w14:textId="77777777" w:rsidR="00C165F8" w:rsidRPr="001707CF" w:rsidRDefault="00C165F8" w:rsidP="008558ED">
            <w:pPr>
              <w:jc w:val="right"/>
              <w:rPr>
                <w:rFonts w:ascii="Tahoma" w:hAnsi="Tahoma" w:cs="Tahoma"/>
                <w:color w:val="000000"/>
                <w:sz w:val="23"/>
                <w:szCs w:val="23"/>
                <w:lang w:val="sr-Latn-BA"/>
              </w:rPr>
            </w:pPr>
            <w:r>
              <w:rPr>
                <w:rFonts w:ascii="Tahoma" w:hAnsi="Tahoma" w:cs="Tahoma"/>
                <w:color w:val="000000"/>
                <w:sz w:val="23"/>
                <w:szCs w:val="23"/>
              </w:rPr>
              <w:t>307.241</w:t>
            </w:r>
          </w:p>
        </w:tc>
        <w:tc>
          <w:tcPr>
            <w:tcW w:w="1843" w:type="dxa"/>
            <w:tcBorders>
              <w:top w:val="nil"/>
              <w:left w:val="nil"/>
              <w:right w:val="nil"/>
            </w:tcBorders>
            <w:shd w:val="clear" w:color="auto" w:fill="auto"/>
            <w:noWrap/>
            <w:vAlign w:val="bottom"/>
          </w:tcPr>
          <w:p w14:paraId="3EFDB490" w14:textId="77777777" w:rsidR="00C165F8" w:rsidRPr="001707CF" w:rsidRDefault="00C165F8" w:rsidP="008558ED">
            <w:pPr>
              <w:jc w:val="right"/>
              <w:rPr>
                <w:rFonts w:ascii="Tahoma" w:hAnsi="Tahoma" w:cs="Tahoma"/>
                <w:color w:val="000000"/>
                <w:sz w:val="23"/>
                <w:szCs w:val="23"/>
                <w:lang w:val="sr-Latn-BA"/>
              </w:rPr>
            </w:pPr>
            <w:r>
              <w:rPr>
                <w:rFonts w:ascii="Tahoma" w:hAnsi="Tahoma" w:cs="Tahoma"/>
                <w:sz w:val="23"/>
                <w:szCs w:val="23"/>
              </w:rPr>
              <w:t>4,65%</w:t>
            </w:r>
          </w:p>
        </w:tc>
      </w:tr>
      <w:tr w:rsidR="00C165F8" w:rsidRPr="001707CF" w14:paraId="52069AEF" w14:textId="77777777" w:rsidTr="008558ED">
        <w:trPr>
          <w:trHeight w:val="285"/>
          <w:jc w:val="center"/>
        </w:trPr>
        <w:tc>
          <w:tcPr>
            <w:tcW w:w="3544" w:type="dxa"/>
            <w:tcBorders>
              <w:top w:val="nil"/>
              <w:left w:val="nil"/>
              <w:bottom w:val="single" w:sz="4" w:space="0" w:color="auto"/>
              <w:right w:val="nil"/>
            </w:tcBorders>
            <w:shd w:val="clear" w:color="auto" w:fill="auto"/>
            <w:noWrap/>
            <w:vAlign w:val="bottom"/>
          </w:tcPr>
          <w:p w14:paraId="232FA622" w14:textId="77777777" w:rsidR="00C165F8" w:rsidRPr="001707CF" w:rsidRDefault="00C165F8" w:rsidP="008558ED">
            <w:pPr>
              <w:rPr>
                <w:rFonts w:ascii="Tahoma" w:hAnsi="Tahoma" w:cs="Tahoma"/>
                <w:color w:val="000000"/>
                <w:sz w:val="23"/>
                <w:szCs w:val="23"/>
                <w:lang w:val="sr-Latn-BA"/>
              </w:rPr>
            </w:pPr>
            <w:r w:rsidRPr="001707CF">
              <w:rPr>
                <w:rFonts w:ascii="Tahoma" w:hAnsi="Tahoma" w:cs="Tahoma"/>
                <w:color w:val="000000"/>
                <w:sz w:val="23"/>
                <w:szCs w:val="23"/>
                <w:lang w:val="sr-Latn-BA"/>
              </w:rPr>
              <w:t>Ostali</w:t>
            </w:r>
          </w:p>
        </w:tc>
        <w:tc>
          <w:tcPr>
            <w:tcW w:w="1276" w:type="dxa"/>
            <w:tcBorders>
              <w:top w:val="nil"/>
              <w:left w:val="nil"/>
              <w:bottom w:val="single" w:sz="4" w:space="0" w:color="auto"/>
              <w:right w:val="nil"/>
            </w:tcBorders>
            <w:shd w:val="clear" w:color="auto" w:fill="auto"/>
            <w:noWrap/>
            <w:vAlign w:val="bottom"/>
          </w:tcPr>
          <w:p w14:paraId="760530E7" w14:textId="77777777" w:rsidR="00C165F8" w:rsidRPr="001707CF" w:rsidRDefault="00C165F8" w:rsidP="008558ED">
            <w:pPr>
              <w:jc w:val="center"/>
              <w:rPr>
                <w:rFonts w:ascii="Tahoma" w:hAnsi="Tahoma" w:cs="Tahoma"/>
                <w:color w:val="000000"/>
                <w:sz w:val="23"/>
                <w:szCs w:val="23"/>
                <w:lang w:val="sr-Latn-BA"/>
              </w:rPr>
            </w:pPr>
          </w:p>
        </w:tc>
        <w:tc>
          <w:tcPr>
            <w:tcW w:w="1559" w:type="dxa"/>
            <w:tcBorders>
              <w:top w:val="nil"/>
              <w:left w:val="nil"/>
              <w:bottom w:val="single" w:sz="4" w:space="0" w:color="auto"/>
              <w:right w:val="nil"/>
            </w:tcBorders>
            <w:shd w:val="clear" w:color="auto" w:fill="auto"/>
            <w:noWrap/>
            <w:vAlign w:val="bottom"/>
          </w:tcPr>
          <w:p w14:paraId="403203DB" w14:textId="77777777" w:rsidR="00C165F8" w:rsidRPr="001707CF" w:rsidRDefault="00C165F8" w:rsidP="008558ED">
            <w:pPr>
              <w:jc w:val="right"/>
              <w:rPr>
                <w:rFonts w:ascii="Tahoma" w:hAnsi="Tahoma" w:cs="Tahoma"/>
                <w:color w:val="000000"/>
                <w:sz w:val="23"/>
                <w:szCs w:val="23"/>
                <w:lang w:val="sr-Latn-BA"/>
              </w:rPr>
            </w:pPr>
            <w:r>
              <w:rPr>
                <w:rFonts w:ascii="Tahoma" w:hAnsi="Tahoma" w:cs="Tahoma"/>
                <w:color w:val="000000"/>
                <w:sz w:val="23"/>
                <w:szCs w:val="23"/>
                <w:lang w:val="sr-Latn-BA"/>
              </w:rPr>
              <w:t>875.413</w:t>
            </w:r>
          </w:p>
        </w:tc>
        <w:tc>
          <w:tcPr>
            <w:tcW w:w="1843" w:type="dxa"/>
            <w:tcBorders>
              <w:top w:val="nil"/>
              <w:left w:val="nil"/>
              <w:bottom w:val="single" w:sz="4" w:space="0" w:color="auto"/>
              <w:right w:val="nil"/>
            </w:tcBorders>
            <w:shd w:val="clear" w:color="auto" w:fill="auto"/>
            <w:noWrap/>
            <w:vAlign w:val="bottom"/>
          </w:tcPr>
          <w:p w14:paraId="59CABECD" w14:textId="77777777" w:rsidR="00C165F8" w:rsidRPr="001707CF" w:rsidRDefault="00C165F8" w:rsidP="008558ED">
            <w:pPr>
              <w:jc w:val="right"/>
              <w:rPr>
                <w:rFonts w:ascii="Tahoma" w:hAnsi="Tahoma" w:cs="Tahoma"/>
                <w:color w:val="000000"/>
                <w:sz w:val="23"/>
                <w:szCs w:val="23"/>
                <w:lang w:val="sr-Latn-BA"/>
              </w:rPr>
            </w:pPr>
            <w:r>
              <w:rPr>
                <w:rFonts w:ascii="Tahoma" w:hAnsi="Tahoma" w:cs="Tahoma"/>
                <w:color w:val="000000"/>
                <w:sz w:val="23"/>
                <w:szCs w:val="23"/>
                <w:lang w:val="sr-Latn-BA"/>
              </w:rPr>
              <w:t>13,24</w:t>
            </w:r>
            <w:r w:rsidRPr="001707CF">
              <w:rPr>
                <w:rFonts w:ascii="Tahoma" w:hAnsi="Tahoma" w:cs="Tahoma"/>
                <w:color w:val="000000"/>
                <w:sz w:val="23"/>
                <w:szCs w:val="23"/>
                <w:lang w:val="sr-Latn-BA"/>
              </w:rPr>
              <w:t>%</w:t>
            </w:r>
          </w:p>
        </w:tc>
      </w:tr>
      <w:tr w:rsidR="00C165F8" w:rsidRPr="001707CF" w14:paraId="61ACDCCA" w14:textId="77777777" w:rsidTr="008558ED">
        <w:trPr>
          <w:trHeight w:val="285"/>
          <w:jc w:val="center"/>
        </w:trPr>
        <w:tc>
          <w:tcPr>
            <w:tcW w:w="3544" w:type="dxa"/>
            <w:tcBorders>
              <w:top w:val="single" w:sz="4" w:space="0" w:color="auto"/>
              <w:left w:val="nil"/>
              <w:bottom w:val="nil"/>
              <w:right w:val="nil"/>
            </w:tcBorders>
            <w:shd w:val="clear" w:color="auto" w:fill="auto"/>
            <w:noWrap/>
            <w:vAlign w:val="bottom"/>
          </w:tcPr>
          <w:p w14:paraId="6272A235" w14:textId="77777777" w:rsidR="00C165F8" w:rsidRPr="001707CF" w:rsidRDefault="00C165F8" w:rsidP="008558ED">
            <w:pPr>
              <w:rPr>
                <w:rFonts w:ascii="Tahoma" w:hAnsi="Tahoma" w:cs="Tahoma"/>
                <w:b/>
                <w:bCs/>
                <w:color w:val="000000"/>
                <w:sz w:val="23"/>
                <w:szCs w:val="23"/>
              </w:rPr>
            </w:pPr>
            <w:proofErr w:type="spellStart"/>
            <w:r w:rsidRPr="001707CF">
              <w:rPr>
                <w:rFonts w:ascii="Tahoma" w:hAnsi="Tahoma" w:cs="Tahoma"/>
                <w:b/>
                <w:bCs/>
                <w:color w:val="000000"/>
                <w:sz w:val="23"/>
                <w:szCs w:val="23"/>
              </w:rPr>
              <w:t>Ukupno</w:t>
            </w:r>
            <w:proofErr w:type="spellEnd"/>
            <w:r w:rsidRPr="001707CF">
              <w:rPr>
                <w:rFonts w:ascii="Tahoma" w:hAnsi="Tahoma" w:cs="Tahoma"/>
                <w:b/>
                <w:bCs/>
                <w:color w:val="000000"/>
                <w:sz w:val="23"/>
                <w:szCs w:val="23"/>
              </w:rPr>
              <w:t xml:space="preserve"> </w:t>
            </w:r>
            <w:proofErr w:type="spellStart"/>
            <w:r w:rsidRPr="001707CF">
              <w:rPr>
                <w:rFonts w:ascii="Tahoma" w:hAnsi="Tahoma" w:cs="Tahoma"/>
                <w:b/>
                <w:bCs/>
                <w:color w:val="000000"/>
                <w:sz w:val="23"/>
                <w:szCs w:val="23"/>
              </w:rPr>
              <w:t>akcije</w:t>
            </w:r>
            <w:proofErr w:type="spellEnd"/>
          </w:p>
        </w:tc>
        <w:tc>
          <w:tcPr>
            <w:tcW w:w="1276" w:type="dxa"/>
            <w:tcBorders>
              <w:top w:val="single" w:sz="4" w:space="0" w:color="auto"/>
              <w:left w:val="nil"/>
              <w:bottom w:val="nil"/>
              <w:right w:val="nil"/>
            </w:tcBorders>
            <w:shd w:val="clear" w:color="auto" w:fill="auto"/>
            <w:noWrap/>
            <w:vAlign w:val="bottom"/>
          </w:tcPr>
          <w:p w14:paraId="62C5ADDC" w14:textId="77777777" w:rsidR="00C165F8" w:rsidRPr="001707CF" w:rsidRDefault="00C165F8" w:rsidP="008558ED">
            <w:pPr>
              <w:jc w:val="center"/>
              <w:rPr>
                <w:rFonts w:ascii="Tahoma" w:hAnsi="Tahoma" w:cs="Tahoma"/>
                <w:b/>
                <w:bCs/>
                <w:color w:val="000000"/>
                <w:sz w:val="23"/>
                <w:szCs w:val="23"/>
                <w:lang w:val="sr-Latn-BA"/>
              </w:rPr>
            </w:pPr>
          </w:p>
        </w:tc>
        <w:tc>
          <w:tcPr>
            <w:tcW w:w="1559" w:type="dxa"/>
            <w:tcBorders>
              <w:top w:val="single" w:sz="4" w:space="0" w:color="auto"/>
              <w:left w:val="nil"/>
              <w:bottom w:val="nil"/>
              <w:right w:val="nil"/>
            </w:tcBorders>
            <w:shd w:val="clear" w:color="auto" w:fill="auto"/>
            <w:noWrap/>
            <w:vAlign w:val="bottom"/>
          </w:tcPr>
          <w:p w14:paraId="54ABAC42" w14:textId="77777777" w:rsidR="00C165F8" w:rsidRPr="001707CF" w:rsidRDefault="00C165F8" w:rsidP="008558ED">
            <w:pPr>
              <w:jc w:val="right"/>
              <w:rPr>
                <w:rFonts w:ascii="Tahoma" w:hAnsi="Tahoma" w:cs="Tahoma"/>
                <w:b/>
                <w:bCs/>
                <w:color w:val="000000"/>
                <w:sz w:val="23"/>
                <w:szCs w:val="23"/>
              </w:rPr>
            </w:pPr>
            <w:r w:rsidRPr="001707CF">
              <w:rPr>
                <w:rFonts w:ascii="Tahoma" w:hAnsi="Tahoma" w:cs="Tahoma"/>
                <w:b/>
                <w:bCs/>
                <w:color w:val="000000"/>
                <w:sz w:val="23"/>
                <w:szCs w:val="23"/>
              </w:rPr>
              <w:t>4</w:t>
            </w:r>
            <w:r>
              <w:rPr>
                <w:rFonts w:ascii="Tahoma" w:hAnsi="Tahoma" w:cs="Tahoma"/>
                <w:b/>
                <w:bCs/>
                <w:color w:val="000000"/>
                <w:sz w:val="23"/>
                <w:szCs w:val="23"/>
              </w:rPr>
              <w:t>.658.835</w:t>
            </w:r>
          </w:p>
        </w:tc>
        <w:tc>
          <w:tcPr>
            <w:tcW w:w="1843" w:type="dxa"/>
            <w:tcBorders>
              <w:top w:val="single" w:sz="4" w:space="0" w:color="auto"/>
              <w:left w:val="nil"/>
              <w:bottom w:val="nil"/>
              <w:right w:val="nil"/>
            </w:tcBorders>
            <w:shd w:val="clear" w:color="auto" w:fill="auto"/>
            <w:noWrap/>
            <w:vAlign w:val="bottom"/>
          </w:tcPr>
          <w:p w14:paraId="58FC49ED" w14:textId="77777777" w:rsidR="00C165F8" w:rsidRPr="001707CF" w:rsidRDefault="00C165F8" w:rsidP="008558ED">
            <w:pPr>
              <w:jc w:val="right"/>
              <w:rPr>
                <w:rFonts w:ascii="Tahoma" w:hAnsi="Tahoma" w:cs="Tahoma"/>
                <w:b/>
                <w:bCs/>
                <w:color w:val="000000"/>
                <w:sz w:val="23"/>
                <w:szCs w:val="23"/>
              </w:rPr>
            </w:pPr>
            <w:r w:rsidRPr="001707CF">
              <w:rPr>
                <w:rFonts w:ascii="Tahoma" w:hAnsi="Tahoma" w:cs="Tahoma"/>
                <w:b/>
                <w:bCs/>
                <w:color w:val="000000"/>
                <w:sz w:val="23"/>
                <w:szCs w:val="23"/>
              </w:rPr>
              <w:t>70,</w:t>
            </w:r>
            <w:r>
              <w:rPr>
                <w:rFonts w:ascii="Tahoma" w:hAnsi="Tahoma" w:cs="Tahoma"/>
                <w:b/>
                <w:bCs/>
                <w:color w:val="000000"/>
                <w:sz w:val="23"/>
                <w:szCs w:val="23"/>
              </w:rPr>
              <w:t>47</w:t>
            </w:r>
            <w:r w:rsidRPr="001707CF">
              <w:rPr>
                <w:rFonts w:ascii="Tahoma" w:hAnsi="Tahoma" w:cs="Tahoma"/>
                <w:b/>
                <w:bCs/>
                <w:color w:val="000000"/>
                <w:sz w:val="23"/>
                <w:szCs w:val="23"/>
              </w:rPr>
              <w:t>%</w:t>
            </w:r>
          </w:p>
        </w:tc>
      </w:tr>
      <w:tr w:rsidR="00C165F8" w:rsidRPr="001707CF" w14:paraId="3F70DEDD" w14:textId="77777777" w:rsidTr="008558ED">
        <w:trPr>
          <w:trHeight w:val="285"/>
          <w:jc w:val="center"/>
        </w:trPr>
        <w:tc>
          <w:tcPr>
            <w:tcW w:w="3544" w:type="dxa"/>
            <w:tcBorders>
              <w:top w:val="nil"/>
              <w:left w:val="nil"/>
              <w:bottom w:val="nil"/>
              <w:right w:val="nil"/>
            </w:tcBorders>
            <w:shd w:val="clear" w:color="auto" w:fill="auto"/>
            <w:noWrap/>
            <w:vAlign w:val="bottom"/>
          </w:tcPr>
          <w:p w14:paraId="3F9F2D77" w14:textId="77777777" w:rsidR="00C165F8" w:rsidRPr="001707CF" w:rsidRDefault="00C165F8" w:rsidP="008558ED">
            <w:pPr>
              <w:rPr>
                <w:rFonts w:ascii="Tahoma" w:hAnsi="Tahoma" w:cs="Tahoma"/>
                <w:color w:val="000000"/>
                <w:sz w:val="22"/>
                <w:szCs w:val="22"/>
                <w:lang w:val="sr-Latn-BA"/>
              </w:rPr>
            </w:pPr>
          </w:p>
        </w:tc>
        <w:tc>
          <w:tcPr>
            <w:tcW w:w="1276" w:type="dxa"/>
            <w:tcBorders>
              <w:top w:val="nil"/>
              <w:left w:val="nil"/>
              <w:bottom w:val="nil"/>
              <w:right w:val="nil"/>
            </w:tcBorders>
            <w:shd w:val="clear" w:color="auto" w:fill="auto"/>
            <w:noWrap/>
            <w:vAlign w:val="bottom"/>
          </w:tcPr>
          <w:p w14:paraId="58A00047" w14:textId="77777777" w:rsidR="00C165F8" w:rsidRPr="001707CF" w:rsidRDefault="00C165F8" w:rsidP="008558ED">
            <w:pPr>
              <w:jc w:val="center"/>
              <w:rPr>
                <w:rFonts w:ascii="Tahoma" w:hAnsi="Tahoma" w:cs="Tahoma"/>
                <w:color w:val="000000"/>
                <w:sz w:val="22"/>
                <w:szCs w:val="22"/>
                <w:lang w:val="sr-Latn-BA"/>
              </w:rPr>
            </w:pPr>
          </w:p>
        </w:tc>
        <w:tc>
          <w:tcPr>
            <w:tcW w:w="1559" w:type="dxa"/>
            <w:tcBorders>
              <w:top w:val="nil"/>
              <w:left w:val="nil"/>
              <w:bottom w:val="nil"/>
              <w:right w:val="nil"/>
            </w:tcBorders>
            <w:shd w:val="clear" w:color="auto" w:fill="auto"/>
            <w:noWrap/>
            <w:vAlign w:val="bottom"/>
          </w:tcPr>
          <w:p w14:paraId="0D3779AA" w14:textId="77777777" w:rsidR="00C165F8" w:rsidRPr="001707CF" w:rsidRDefault="00C165F8" w:rsidP="008558ED">
            <w:pPr>
              <w:jc w:val="right"/>
              <w:rPr>
                <w:rFonts w:ascii="Tahoma" w:hAnsi="Tahoma" w:cs="Tahoma"/>
                <w:color w:val="000000"/>
                <w:sz w:val="22"/>
                <w:szCs w:val="22"/>
                <w:lang w:val="sr-Latn-BA"/>
              </w:rPr>
            </w:pPr>
          </w:p>
        </w:tc>
        <w:tc>
          <w:tcPr>
            <w:tcW w:w="1843" w:type="dxa"/>
            <w:tcBorders>
              <w:top w:val="nil"/>
              <w:left w:val="nil"/>
              <w:bottom w:val="nil"/>
              <w:right w:val="nil"/>
            </w:tcBorders>
            <w:shd w:val="clear" w:color="auto" w:fill="auto"/>
            <w:noWrap/>
            <w:vAlign w:val="bottom"/>
          </w:tcPr>
          <w:p w14:paraId="24432861" w14:textId="77777777" w:rsidR="00C165F8" w:rsidRPr="001707CF" w:rsidRDefault="00C165F8" w:rsidP="008558ED">
            <w:pPr>
              <w:jc w:val="right"/>
              <w:rPr>
                <w:rFonts w:ascii="Tahoma" w:hAnsi="Tahoma" w:cs="Tahoma"/>
                <w:color w:val="000000"/>
                <w:sz w:val="22"/>
                <w:szCs w:val="22"/>
                <w:lang w:val="sr-Latn-BA"/>
              </w:rPr>
            </w:pPr>
          </w:p>
        </w:tc>
      </w:tr>
      <w:tr w:rsidR="00C165F8" w:rsidRPr="001707CF" w14:paraId="4803ACC5" w14:textId="77777777" w:rsidTr="008558ED">
        <w:trPr>
          <w:trHeight w:val="285"/>
          <w:jc w:val="center"/>
        </w:trPr>
        <w:tc>
          <w:tcPr>
            <w:tcW w:w="3544" w:type="dxa"/>
            <w:tcBorders>
              <w:top w:val="nil"/>
              <w:left w:val="nil"/>
              <w:bottom w:val="nil"/>
              <w:right w:val="nil"/>
            </w:tcBorders>
            <w:shd w:val="clear" w:color="auto" w:fill="auto"/>
            <w:noWrap/>
            <w:vAlign w:val="bottom"/>
          </w:tcPr>
          <w:p w14:paraId="6822A504" w14:textId="77777777" w:rsidR="00C165F8" w:rsidRPr="001707CF" w:rsidRDefault="00C165F8" w:rsidP="008558ED">
            <w:pPr>
              <w:rPr>
                <w:rFonts w:ascii="Tahoma" w:hAnsi="Tahoma" w:cs="Tahoma"/>
                <w:b/>
                <w:bCs/>
                <w:color w:val="000000"/>
                <w:sz w:val="22"/>
                <w:szCs w:val="22"/>
                <w:lang w:val="sr-Latn-BA"/>
              </w:rPr>
            </w:pPr>
            <w:r w:rsidRPr="001707CF">
              <w:rPr>
                <w:rFonts w:ascii="Tahoma" w:hAnsi="Tahoma" w:cs="Tahoma"/>
                <w:b/>
                <w:bCs/>
                <w:color w:val="000000"/>
                <w:sz w:val="22"/>
                <w:szCs w:val="22"/>
                <w:lang w:val="sr-Latn-BA"/>
              </w:rPr>
              <w:t>Obveznice</w:t>
            </w:r>
          </w:p>
        </w:tc>
        <w:tc>
          <w:tcPr>
            <w:tcW w:w="1276" w:type="dxa"/>
            <w:tcBorders>
              <w:top w:val="nil"/>
              <w:left w:val="nil"/>
              <w:bottom w:val="nil"/>
              <w:right w:val="nil"/>
            </w:tcBorders>
            <w:shd w:val="clear" w:color="auto" w:fill="auto"/>
            <w:noWrap/>
            <w:vAlign w:val="bottom"/>
          </w:tcPr>
          <w:p w14:paraId="14217767" w14:textId="77777777" w:rsidR="00C165F8" w:rsidRPr="001707CF" w:rsidRDefault="00C165F8" w:rsidP="008558ED">
            <w:pPr>
              <w:jc w:val="center"/>
              <w:rPr>
                <w:rFonts w:ascii="Tahoma" w:hAnsi="Tahoma" w:cs="Tahoma"/>
                <w:color w:val="000000"/>
                <w:sz w:val="22"/>
                <w:szCs w:val="22"/>
                <w:lang w:val="sr-Latn-BA"/>
              </w:rPr>
            </w:pPr>
          </w:p>
        </w:tc>
        <w:tc>
          <w:tcPr>
            <w:tcW w:w="1559" w:type="dxa"/>
            <w:tcBorders>
              <w:top w:val="nil"/>
              <w:left w:val="nil"/>
              <w:bottom w:val="nil"/>
              <w:right w:val="nil"/>
            </w:tcBorders>
            <w:shd w:val="clear" w:color="auto" w:fill="auto"/>
            <w:noWrap/>
            <w:vAlign w:val="bottom"/>
          </w:tcPr>
          <w:p w14:paraId="62EE61F0" w14:textId="77777777" w:rsidR="00C165F8" w:rsidRPr="001707CF" w:rsidRDefault="00C165F8" w:rsidP="008558ED">
            <w:pPr>
              <w:jc w:val="right"/>
              <w:rPr>
                <w:rFonts w:ascii="Tahoma" w:hAnsi="Tahoma" w:cs="Tahoma"/>
                <w:color w:val="000000"/>
                <w:sz w:val="22"/>
                <w:szCs w:val="22"/>
                <w:lang w:val="sr-Latn-BA"/>
              </w:rPr>
            </w:pPr>
          </w:p>
        </w:tc>
        <w:tc>
          <w:tcPr>
            <w:tcW w:w="1843" w:type="dxa"/>
            <w:tcBorders>
              <w:top w:val="nil"/>
              <w:left w:val="nil"/>
              <w:bottom w:val="nil"/>
              <w:right w:val="nil"/>
            </w:tcBorders>
            <w:shd w:val="clear" w:color="auto" w:fill="auto"/>
            <w:noWrap/>
            <w:vAlign w:val="bottom"/>
          </w:tcPr>
          <w:p w14:paraId="6E3024E1" w14:textId="77777777" w:rsidR="00C165F8" w:rsidRPr="001707CF" w:rsidRDefault="00C165F8" w:rsidP="008558ED">
            <w:pPr>
              <w:jc w:val="right"/>
              <w:rPr>
                <w:rFonts w:ascii="Tahoma" w:hAnsi="Tahoma" w:cs="Tahoma"/>
                <w:color w:val="000000"/>
                <w:sz w:val="22"/>
                <w:szCs w:val="22"/>
                <w:lang w:val="sr-Latn-BA"/>
              </w:rPr>
            </w:pPr>
          </w:p>
        </w:tc>
      </w:tr>
      <w:tr w:rsidR="00C165F8" w:rsidRPr="001707CF" w14:paraId="01E6DD69" w14:textId="77777777" w:rsidTr="008558ED">
        <w:trPr>
          <w:trHeight w:val="285"/>
          <w:jc w:val="center"/>
        </w:trPr>
        <w:tc>
          <w:tcPr>
            <w:tcW w:w="3544" w:type="dxa"/>
            <w:tcBorders>
              <w:top w:val="nil"/>
              <w:left w:val="nil"/>
              <w:bottom w:val="nil"/>
              <w:right w:val="nil"/>
            </w:tcBorders>
            <w:shd w:val="clear" w:color="auto" w:fill="auto"/>
            <w:noWrap/>
            <w:vAlign w:val="bottom"/>
            <w:hideMark/>
          </w:tcPr>
          <w:p w14:paraId="5007E419" w14:textId="77777777" w:rsidR="00C165F8" w:rsidRPr="001707CF" w:rsidRDefault="00C165F8" w:rsidP="008558ED">
            <w:pPr>
              <w:rPr>
                <w:rFonts w:ascii="Tahoma" w:hAnsi="Tahoma" w:cs="Tahoma"/>
                <w:color w:val="000000"/>
                <w:sz w:val="22"/>
                <w:szCs w:val="22"/>
                <w:lang w:val="sr-Latn-BA"/>
              </w:rPr>
            </w:pPr>
            <w:r w:rsidRPr="001707CF">
              <w:rPr>
                <w:rFonts w:ascii="Tahoma" w:hAnsi="Tahoma" w:cs="Tahoma"/>
                <w:color w:val="000000"/>
                <w:sz w:val="22"/>
                <w:szCs w:val="22"/>
                <w:lang w:val="sr-Latn-BA"/>
              </w:rPr>
              <w:t>Državne obveznice</w:t>
            </w:r>
          </w:p>
        </w:tc>
        <w:tc>
          <w:tcPr>
            <w:tcW w:w="1276" w:type="dxa"/>
            <w:tcBorders>
              <w:top w:val="nil"/>
              <w:left w:val="nil"/>
              <w:bottom w:val="nil"/>
              <w:right w:val="nil"/>
            </w:tcBorders>
            <w:shd w:val="clear" w:color="auto" w:fill="auto"/>
            <w:noWrap/>
            <w:vAlign w:val="bottom"/>
            <w:hideMark/>
          </w:tcPr>
          <w:p w14:paraId="59C66773" w14:textId="77777777" w:rsidR="00C165F8" w:rsidRPr="001707CF" w:rsidRDefault="00C165F8" w:rsidP="008558ED">
            <w:pPr>
              <w:jc w:val="center"/>
              <w:rPr>
                <w:rFonts w:ascii="Tahoma" w:hAnsi="Tahoma" w:cs="Tahoma"/>
                <w:color w:val="000000"/>
                <w:sz w:val="22"/>
                <w:szCs w:val="22"/>
                <w:lang w:val="sr-Latn-BA"/>
              </w:rPr>
            </w:pPr>
          </w:p>
        </w:tc>
        <w:tc>
          <w:tcPr>
            <w:tcW w:w="1559" w:type="dxa"/>
            <w:tcBorders>
              <w:top w:val="nil"/>
              <w:left w:val="nil"/>
              <w:bottom w:val="nil"/>
              <w:right w:val="nil"/>
            </w:tcBorders>
            <w:shd w:val="clear" w:color="auto" w:fill="auto"/>
            <w:noWrap/>
            <w:vAlign w:val="bottom"/>
          </w:tcPr>
          <w:p w14:paraId="2B7B94D9" w14:textId="77777777" w:rsidR="00C165F8" w:rsidRPr="001707CF" w:rsidRDefault="00C165F8" w:rsidP="008558ED">
            <w:pPr>
              <w:jc w:val="right"/>
              <w:rPr>
                <w:rFonts w:ascii="Tahoma" w:hAnsi="Tahoma" w:cs="Tahoma"/>
                <w:color w:val="000000"/>
                <w:sz w:val="22"/>
                <w:szCs w:val="22"/>
                <w:lang w:val="sr-Latn-BA"/>
              </w:rPr>
            </w:pPr>
            <w:r w:rsidRPr="001707CF">
              <w:rPr>
                <w:rFonts w:ascii="Tahoma" w:hAnsi="Tahoma" w:cs="Tahoma"/>
                <w:color w:val="000000"/>
                <w:sz w:val="22"/>
                <w:szCs w:val="22"/>
                <w:lang w:val="sr-Latn-BA"/>
              </w:rPr>
              <w:t>-</w:t>
            </w:r>
          </w:p>
        </w:tc>
        <w:tc>
          <w:tcPr>
            <w:tcW w:w="1843" w:type="dxa"/>
            <w:tcBorders>
              <w:top w:val="nil"/>
              <w:left w:val="nil"/>
              <w:bottom w:val="nil"/>
              <w:right w:val="nil"/>
            </w:tcBorders>
            <w:shd w:val="clear" w:color="auto" w:fill="auto"/>
            <w:noWrap/>
            <w:vAlign w:val="bottom"/>
          </w:tcPr>
          <w:p w14:paraId="3F0A1C27" w14:textId="77777777" w:rsidR="00C165F8" w:rsidRPr="001707CF" w:rsidRDefault="00C165F8" w:rsidP="008558ED">
            <w:pPr>
              <w:jc w:val="right"/>
              <w:rPr>
                <w:rFonts w:ascii="Tahoma" w:hAnsi="Tahoma" w:cs="Tahoma"/>
                <w:color w:val="000000"/>
                <w:sz w:val="22"/>
                <w:szCs w:val="22"/>
                <w:lang w:val="sr-Latn-BA"/>
              </w:rPr>
            </w:pPr>
            <w:r w:rsidRPr="001707CF">
              <w:rPr>
                <w:rFonts w:ascii="Tahoma" w:hAnsi="Tahoma" w:cs="Tahoma"/>
                <w:color w:val="000000"/>
                <w:sz w:val="22"/>
                <w:szCs w:val="22"/>
                <w:lang w:val="sr-Latn-BA"/>
              </w:rPr>
              <w:t>-</w:t>
            </w:r>
          </w:p>
        </w:tc>
      </w:tr>
      <w:tr w:rsidR="00C165F8" w:rsidRPr="001707CF" w14:paraId="0DBBE581" w14:textId="77777777" w:rsidTr="008558ED">
        <w:trPr>
          <w:trHeight w:val="406"/>
          <w:jc w:val="center"/>
        </w:trPr>
        <w:tc>
          <w:tcPr>
            <w:tcW w:w="3544" w:type="dxa"/>
            <w:tcBorders>
              <w:top w:val="single" w:sz="4" w:space="0" w:color="auto"/>
              <w:left w:val="nil"/>
              <w:bottom w:val="single" w:sz="4" w:space="0" w:color="auto"/>
              <w:right w:val="nil"/>
            </w:tcBorders>
            <w:shd w:val="clear" w:color="auto" w:fill="auto"/>
            <w:noWrap/>
            <w:vAlign w:val="center"/>
          </w:tcPr>
          <w:p w14:paraId="10C8C570" w14:textId="77777777" w:rsidR="00C165F8" w:rsidRPr="001707CF" w:rsidRDefault="00C165F8" w:rsidP="008558ED">
            <w:pPr>
              <w:rPr>
                <w:rFonts w:ascii="Tahoma" w:hAnsi="Tahoma" w:cs="Tahoma"/>
                <w:b/>
                <w:bCs/>
                <w:color w:val="000000"/>
                <w:sz w:val="22"/>
                <w:szCs w:val="22"/>
                <w:lang w:val="sr-Latn-BA"/>
              </w:rPr>
            </w:pPr>
            <w:r w:rsidRPr="001707CF">
              <w:rPr>
                <w:rFonts w:ascii="Tahoma" w:hAnsi="Tahoma" w:cs="Tahoma"/>
                <w:b/>
                <w:bCs/>
                <w:color w:val="000000"/>
                <w:sz w:val="22"/>
                <w:szCs w:val="22"/>
                <w:lang w:val="sr-Latn-BA"/>
              </w:rPr>
              <w:t>Ukupno obveznice</w:t>
            </w:r>
          </w:p>
        </w:tc>
        <w:tc>
          <w:tcPr>
            <w:tcW w:w="1276" w:type="dxa"/>
            <w:tcBorders>
              <w:top w:val="single" w:sz="4" w:space="0" w:color="auto"/>
              <w:left w:val="nil"/>
              <w:bottom w:val="single" w:sz="4" w:space="0" w:color="auto"/>
              <w:right w:val="nil"/>
            </w:tcBorders>
            <w:shd w:val="clear" w:color="auto" w:fill="auto"/>
            <w:noWrap/>
            <w:vAlign w:val="center"/>
          </w:tcPr>
          <w:p w14:paraId="014B0753" w14:textId="77777777" w:rsidR="00C165F8" w:rsidRPr="001707CF" w:rsidRDefault="00C165F8" w:rsidP="008558ED">
            <w:pPr>
              <w:rPr>
                <w:rFonts w:ascii="Tahoma" w:hAnsi="Tahoma" w:cs="Tahoma"/>
                <w:b/>
                <w:bCs/>
                <w:color w:val="000000"/>
                <w:sz w:val="22"/>
                <w:szCs w:val="22"/>
                <w:lang w:val="sr-Latn-BA"/>
              </w:rPr>
            </w:pPr>
          </w:p>
        </w:tc>
        <w:tc>
          <w:tcPr>
            <w:tcW w:w="1559" w:type="dxa"/>
            <w:tcBorders>
              <w:top w:val="single" w:sz="4" w:space="0" w:color="auto"/>
              <w:left w:val="nil"/>
              <w:bottom w:val="single" w:sz="4" w:space="0" w:color="auto"/>
              <w:right w:val="nil"/>
            </w:tcBorders>
            <w:shd w:val="clear" w:color="auto" w:fill="auto"/>
            <w:noWrap/>
            <w:vAlign w:val="center"/>
          </w:tcPr>
          <w:p w14:paraId="3664B705" w14:textId="77777777" w:rsidR="00C165F8" w:rsidRPr="001707CF" w:rsidRDefault="00C165F8" w:rsidP="008558ED">
            <w:pPr>
              <w:jc w:val="right"/>
              <w:rPr>
                <w:rFonts w:ascii="Tahoma" w:hAnsi="Tahoma" w:cs="Tahoma"/>
                <w:b/>
                <w:bCs/>
                <w:color w:val="000000"/>
                <w:sz w:val="22"/>
                <w:szCs w:val="22"/>
                <w:lang w:val="sr-Latn-BA"/>
              </w:rPr>
            </w:pPr>
            <w:r w:rsidRPr="001707CF">
              <w:rPr>
                <w:rFonts w:ascii="Tahoma" w:hAnsi="Tahoma" w:cs="Tahoma"/>
                <w:b/>
                <w:bCs/>
                <w:color w:val="000000"/>
                <w:sz w:val="22"/>
                <w:szCs w:val="22"/>
                <w:lang w:val="sr-Latn-BA"/>
              </w:rPr>
              <w:t>-</w:t>
            </w:r>
          </w:p>
        </w:tc>
        <w:tc>
          <w:tcPr>
            <w:tcW w:w="1843" w:type="dxa"/>
            <w:tcBorders>
              <w:top w:val="single" w:sz="4" w:space="0" w:color="auto"/>
              <w:left w:val="nil"/>
              <w:bottom w:val="single" w:sz="4" w:space="0" w:color="auto"/>
              <w:right w:val="nil"/>
            </w:tcBorders>
            <w:shd w:val="clear" w:color="auto" w:fill="auto"/>
            <w:noWrap/>
            <w:vAlign w:val="center"/>
          </w:tcPr>
          <w:p w14:paraId="50CE19AD" w14:textId="77777777" w:rsidR="00C165F8" w:rsidRPr="001707CF" w:rsidRDefault="00C165F8" w:rsidP="008558ED">
            <w:pPr>
              <w:jc w:val="right"/>
              <w:rPr>
                <w:rFonts w:ascii="Tahoma" w:hAnsi="Tahoma" w:cs="Tahoma"/>
                <w:b/>
                <w:bCs/>
                <w:color w:val="000000"/>
                <w:sz w:val="22"/>
                <w:szCs w:val="22"/>
                <w:lang w:val="sr-Latn-BA"/>
              </w:rPr>
            </w:pPr>
            <w:r w:rsidRPr="001707CF">
              <w:rPr>
                <w:rFonts w:ascii="Tahoma" w:hAnsi="Tahoma" w:cs="Tahoma"/>
                <w:b/>
                <w:bCs/>
                <w:color w:val="000000"/>
                <w:sz w:val="22"/>
                <w:szCs w:val="22"/>
                <w:lang w:val="sr-Latn-BA"/>
              </w:rPr>
              <w:t>-</w:t>
            </w:r>
          </w:p>
        </w:tc>
      </w:tr>
      <w:tr w:rsidR="00C165F8" w:rsidRPr="001707CF" w14:paraId="178FD3B0" w14:textId="77777777" w:rsidTr="008558ED">
        <w:trPr>
          <w:trHeight w:val="406"/>
          <w:jc w:val="center"/>
        </w:trPr>
        <w:tc>
          <w:tcPr>
            <w:tcW w:w="3544" w:type="dxa"/>
            <w:tcBorders>
              <w:top w:val="single" w:sz="4" w:space="0" w:color="auto"/>
              <w:left w:val="nil"/>
              <w:bottom w:val="single" w:sz="4" w:space="0" w:color="auto"/>
              <w:right w:val="nil"/>
            </w:tcBorders>
            <w:shd w:val="clear" w:color="auto" w:fill="auto"/>
            <w:noWrap/>
            <w:vAlign w:val="center"/>
            <w:hideMark/>
          </w:tcPr>
          <w:p w14:paraId="7C604FAA" w14:textId="77777777" w:rsidR="00C165F8" w:rsidRPr="001707CF" w:rsidRDefault="00C165F8" w:rsidP="008558ED">
            <w:pPr>
              <w:rPr>
                <w:rFonts w:ascii="Tahoma" w:hAnsi="Tahoma" w:cs="Tahoma"/>
                <w:b/>
                <w:bCs/>
                <w:color w:val="000000"/>
                <w:sz w:val="22"/>
                <w:szCs w:val="22"/>
                <w:lang w:val="sr-Latn-BA"/>
              </w:rPr>
            </w:pPr>
            <w:r w:rsidRPr="001707CF">
              <w:rPr>
                <w:rFonts w:ascii="Tahoma" w:hAnsi="Tahoma" w:cs="Tahoma"/>
                <w:b/>
                <w:bCs/>
                <w:color w:val="000000"/>
                <w:sz w:val="22"/>
                <w:szCs w:val="22"/>
                <w:lang w:val="sr-Latn-BA"/>
              </w:rPr>
              <w:t>UKUPNO</w:t>
            </w:r>
          </w:p>
        </w:tc>
        <w:tc>
          <w:tcPr>
            <w:tcW w:w="1276" w:type="dxa"/>
            <w:tcBorders>
              <w:top w:val="single" w:sz="4" w:space="0" w:color="auto"/>
              <w:left w:val="nil"/>
              <w:bottom w:val="single" w:sz="4" w:space="0" w:color="auto"/>
              <w:right w:val="nil"/>
            </w:tcBorders>
            <w:shd w:val="clear" w:color="auto" w:fill="auto"/>
            <w:noWrap/>
            <w:vAlign w:val="bottom"/>
            <w:hideMark/>
          </w:tcPr>
          <w:p w14:paraId="15DD29BE" w14:textId="77777777" w:rsidR="00C165F8" w:rsidRPr="001707CF" w:rsidRDefault="00C165F8" w:rsidP="008558ED">
            <w:pPr>
              <w:rPr>
                <w:rFonts w:ascii="Tahoma" w:hAnsi="Tahoma" w:cs="Tahoma"/>
                <w:b/>
                <w:bCs/>
                <w:color w:val="000000"/>
                <w:sz w:val="22"/>
                <w:szCs w:val="22"/>
                <w:lang w:val="sr-Latn-BA"/>
              </w:rPr>
            </w:pPr>
          </w:p>
        </w:tc>
        <w:tc>
          <w:tcPr>
            <w:tcW w:w="1559" w:type="dxa"/>
            <w:tcBorders>
              <w:top w:val="single" w:sz="4" w:space="0" w:color="auto"/>
              <w:left w:val="nil"/>
              <w:bottom w:val="single" w:sz="4" w:space="0" w:color="auto"/>
              <w:right w:val="nil"/>
            </w:tcBorders>
            <w:shd w:val="clear" w:color="auto" w:fill="auto"/>
            <w:noWrap/>
            <w:vAlign w:val="bottom"/>
          </w:tcPr>
          <w:p w14:paraId="60971099" w14:textId="77777777" w:rsidR="00C165F8" w:rsidRPr="001707CF" w:rsidRDefault="00C165F8" w:rsidP="008558ED">
            <w:pPr>
              <w:jc w:val="right"/>
              <w:rPr>
                <w:rFonts w:ascii="Tahoma" w:hAnsi="Tahoma" w:cs="Tahoma"/>
                <w:b/>
                <w:bCs/>
                <w:color w:val="000000"/>
                <w:sz w:val="22"/>
                <w:szCs w:val="22"/>
                <w:lang w:val="sr-Latn-BA"/>
              </w:rPr>
            </w:pPr>
            <w:r w:rsidRPr="001707CF">
              <w:rPr>
                <w:rFonts w:ascii="Tahoma" w:hAnsi="Tahoma" w:cs="Tahoma"/>
                <w:b/>
                <w:bCs/>
                <w:color w:val="000000"/>
                <w:sz w:val="23"/>
                <w:szCs w:val="23"/>
              </w:rPr>
              <w:t>4</w:t>
            </w:r>
            <w:r>
              <w:rPr>
                <w:rFonts w:ascii="Tahoma" w:hAnsi="Tahoma" w:cs="Tahoma"/>
                <w:b/>
                <w:bCs/>
                <w:color w:val="000000"/>
                <w:sz w:val="23"/>
                <w:szCs w:val="23"/>
              </w:rPr>
              <w:t>.658.835</w:t>
            </w:r>
          </w:p>
        </w:tc>
        <w:tc>
          <w:tcPr>
            <w:tcW w:w="1843" w:type="dxa"/>
            <w:tcBorders>
              <w:top w:val="single" w:sz="4" w:space="0" w:color="auto"/>
              <w:left w:val="nil"/>
              <w:bottom w:val="single" w:sz="4" w:space="0" w:color="auto"/>
              <w:right w:val="nil"/>
            </w:tcBorders>
            <w:shd w:val="clear" w:color="auto" w:fill="auto"/>
            <w:noWrap/>
            <w:vAlign w:val="bottom"/>
          </w:tcPr>
          <w:p w14:paraId="1E64AEBA" w14:textId="77777777" w:rsidR="00C165F8" w:rsidRPr="001707CF" w:rsidRDefault="00C165F8" w:rsidP="008558ED">
            <w:pPr>
              <w:jc w:val="right"/>
              <w:rPr>
                <w:rFonts w:ascii="Tahoma" w:hAnsi="Tahoma" w:cs="Tahoma"/>
                <w:b/>
                <w:bCs/>
                <w:color w:val="000000"/>
                <w:sz w:val="22"/>
                <w:szCs w:val="22"/>
                <w:lang w:val="en-GB"/>
              </w:rPr>
            </w:pPr>
            <w:r w:rsidRPr="001707CF">
              <w:rPr>
                <w:rFonts w:ascii="Tahoma" w:hAnsi="Tahoma" w:cs="Tahoma"/>
                <w:b/>
                <w:bCs/>
                <w:color w:val="000000"/>
                <w:sz w:val="23"/>
                <w:szCs w:val="23"/>
              </w:rPr>
              <w:t>70,</w:t>
            </w:r>
            <w:r>
              <w:rPr>
                <w:rFonts w:ascii="Tahoma" w:hAnsi="Tahoma" w:cs="Tahoma"/>
                <w:b/>
                <w:bCs/>
                <w:color w:val="000000"/>
                <w:sz w:val="23"/>
                <w:szCs w:val="23"/>
              </w:rPr>
              <w:t>47</w:t>
            </w:r>
            <w:r w:rsidRPr="001707CF">
              <w:rPr>
                <w:rFonts w:ascii="Tahoma" w:hAnsi="Tahoma" w:cs="Tahoma"/>
                <w:b/>
                <w:bCs/>
                <w:color w:val="000000"/>
                <w:sz w:val="23"/>
                <w:szCs w:val="23"/>
              </w:rPr>
              <w:t>%</w:t>
            </w:r>
          </w:p>
        </w:tc>
      </w:tr>
    </w:tbl>
    <w:p w14:paraId="03B8D0AC" w14:textId="77777777" w:rsidR="00C165F8" w:rsidRPr="001707CF" w:rsidRDefault="00C165F8" w:rsidP="00C165F8">
      <w:pPr>
        <w:autoSpaceDE w:val="0"/>
        <w:autoSpaceDN w:val="0"/>
        <w:adjustRightInd w:val="0"/>
        <w:spacing w:after="120"/>
        <w:jc w:val="both"/>
        <w:rPr>
          <w:rFonts w:ascii="Tahoma" w:hAnsi="Tahoma" w:cs="Tahoma"/>
          <w:sz w:val="23"/>
          <w:szCs w:val="23"/>
          <w:lang w:val="sr-Latn-BA"/>
        </w:rPr>
      </w:pPr>
    </w:p>
    <w:p w14:paraId="6429FFC5" w14:textId="77777777" w:rsidR="00C165F8" w:rsidRPr="001707CF" w:rsidRDefault="00C165F8" w:rsidP="00C165F8">
      <w:pPr>
        <w:numPr>
          <w:ilvl w:val="0"/>
          <w:numId w:val="22"/>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POTRAŽIVANjA FONDA</w:t>
      </w:r>
    </w:p>
    <w:p w14:paraId="3A4605A1" w14:textId="77777777" w:rsidR="00C165F8" w:rsidRPr="001707CF" w:rsidRDefault="00C165F8" w:rsidP="00C165F8">
      <w:pPr>
        <w:tabs>
          <w:tab w:val="left" w:pos="8789"/>
        </w:tabs>
        <w:spacing w:after="120"/>
        <w:ind w:right="851"/>
        <w:jc w:val="right"/>
        <w:rPr>
          <w:rFonts w:ascii="Tahoma" w:hAnsi="Tahoma" w:cs="Tahoma"/>
          <w:i/>
          <w:sz w:val="23"/>
          <w:szCs w:val="23"/>
          <w:lang w:val="sr-Latn-BA"/>
        </w:rPr>
      </w:pPr>
      <w:r w:rsidRPr="001707CF">
        <w:rPr>
          <w:rFonts w:ascii="Tahoma" w:hAnsi="Tahoma" w:cs="Tahoma"/>
          <w:i/>
          <w:sz w:val="23"/>
          <w:szCs w:val="23"/>
          <w:lang w:val="sr-Latn-BA"/>
        </w:rPr>
        <w:lastRenderedPageBreak/>
        <w:t>(u KM)</w:t>
      </w:r>
    </w:p>
    <w:tbl>
      <w:tblPr>
        <w:tblW w:w="9073" w:type="dxa"/>
        <w:jc w:val="center"/>
        <w:tblLook w:val="04A0" w:firstRow="1" w:lastRow="0" w:firstColumn="1" w:lastColumn="0" w:noHBand="0" w:noVBand="1"/>
      </w:tblPr>
      <w:tblGrid>
        <w:gridCol w:w="5529"/>
        <w:gridCol w:w="1664"/>
        <w:gridCol w:w="1880"/>
      </w:tblGrid>
      <w:tr w:rsidR="00C165F8" w:rsidRPr="001707CF" w14:paraId="3C784A79" w14:textId="77777777" w:rsidTr="008558ED">
        <w:trPr>
          <w:trHeight w:val="478"/>
          <w:jc w:val="center"/>
        </w:trPr>
        <w:tc>
          <w:tcPr>
            <w:tcW w:w="5529" w:type="dxa"/>
            <w:tcBorders>
              <w:top w:val="single" w:sz="4" w:space="0" w:color="auto"/>
              <w:left w:val="nil"/>
              <w:bottom w:val="single" w:sz="4" w:space="0" w:color="auto"/>
              <w:right w:val="nil"/>
            </w:tcBorders>
            <w:shd w:val="clear" w:color="auto" w:fill="auto"/>
            <w:vAlign w:val="center"/>
            <w:hideMark/>
          </w:tcPr>
          <w:p w14:paraId="2B52BBE5" w14:textId="77777777" w:rsidR="00C165F8" w:rsidRPr="001707CF" w:rsidRDefault="00C165F8" w:rsidP="008558ED">
            <w:pPr>
              <w:jc w:val="center"/>
              <w:rPr>
                <w:rFonts w:ascii="Tahoma" w:hAnsi="Tahoma" w:cs="Tahoma"/>
                <w:i/>
                <w:iCs/>
                <w:sz w:val="23"/>
                <w:szCs w:val="23"/>
                <w:lang w:val="sr-Latn-BA" w:eastAsia="sr-Latn-BA"/>
              </w:rPr>
            </w:pPr>
            <w:proofErr w:type="spellStart"/>
            <w:r w:rsidRPr="001707CF">
              <w:rPr>
                <w:rFonts w:ascii="Tahoma" w:hAnsi="Tahoma" w:cs="Tahoma"/>
                <w:i/>
                <w:iCs/>
                <w:sz w:val="23"/>
                <w:szCs w:val="23"/>
              </w:rPr>
              <w:t>Opis</w:t>
            </w:r>
            <w:proofErr w:type="spellEnd"/>
          </w:p>
        </w:tc>
        <w:tc>
          <w:tcPr>
            <w:tcW w:w="1664" w:type="dxa"/>
            <w:tcBorders>
              <w:top w:val="single" w:sz="4" w:space="0" w:color="auto"/>
              <w:left w:val="nil"/>
              <w:bottom w:val="single" w:sz="4" w:space="0" w:color="auto"/>
              <w:right w:val="nil"/>
            </w:tcBorders>
            <w:vAlign w:val="center"/>
          </w:tcPr>
          <w:p w14:paraId="1FFF01D5" w14:textId="77777777" w:rsidR="00C165F8" w:rsidRPr="001707CF" w:rsidRDefault="00C165F8" w:rsidP="008558ED">
            <w:pPr>
              <w:jc w:val="center"/>
              <w:rPr>
                <w:rFonts w:ascii="Tahoma" w:hAnsi="Tahoma" w:cs="Tahoma"/>
                <w:i/>
                <w:iCs/>
                <w:sz w:val="23"/>
                <w:szCs w:val="23"/>
              </w:rPr>
            </w:pPr>
            <w:r w:rsidRPr="001707CF">
              <w:rPr>
                <w:rFonts w:ascii="Tahoma" w:hAnsi="Tahoma" w:cs="Tahoma"/>
                <w:i/>
                <w:iCs/>
                <w:sz w:val="23"/>
                <w:szCs w:val="23"/>
              </w:rPr>
              <w:t>31.12.</w:t>
            </w:r>
            <w:r>
              <w:rPr>
                <w:rFonts w:ascii="Tahoma" w:hAnsi="Tahoma" w:cs="Tahoma"/>
                <w:i/>
                <w:iCs/>
                <w:sz w:val="23"/>
                <w:szCs w:val="23"/>
              </w:rPr>
              <w:t>2024</w:t>
            </w:r>
            <w:r w:rsidRPr="001707CF">
              <w:rPr>
                <w:rFonts w:ascii="Tahoma" w:hAnsi="Tahoma" w:cs="Tahoma"/>
                <w:i/>
                <w:iCs/>
                <w:sz w:val="23"/>
                <w:szCs w:val="23"/>
              </w:rPr>
              <w:t>.</w:t>
            </w:r>
          </w:p>
        </w:tc>
        <w:tc>
          <w:tcPr>
            <w:tcW w:w="1880" w:type="dxa"/>
            <w:tcBorders>
              <w:top w:val="single" w:sz="4" w:space="0" w:color="auto"/>
              <w:left w:val="nil"/>
              <w:bottom w:val="single" w:sz="4" w:space="0" w:color="auto"/>
              <w:right w:val="nil"/>
            </w:tcBorders>
            <w:shd w:val="clear" w:color="auto" w:fill="auto"/>
            <w:noWrap/>
            <w:vAlign w:val="center"/>
            <w:hideMark/>
          </w:tcPr>
          <w:p w14:paraId="14F6005A" w14:textId="77777777" w:rsidR="00C165F8" w:rsidRPr="001707CF" w:rsidRDefault="00C165F8" w:rsidP="008558ED">
            <w:pPr>
              <w:jc w:val="center"/>
              <w:rPr>
                <w:rFonts w:ascii="Tahoma" w:hAnsi="Tahoma" w:cs="Tahoma"/>
                <w:i/>
                <w:iCs/>
                <w:sz w:val="23"/>
                <w:szCs w:val="23"/>
              </w:rPr>
            </w:pPr>
            <w:r w:rsidRPr="001707CF">
              <w:rPr>
                <w:rFonts w:ascii="Tahoma" w:hAnsi="Tahoma" w:cs="Tahoma"/>
                <w:i/>
                <w:iCs/>
                <w:sz w:val="23"/>
                <w:szCs w:val="23"/>
              </w:rPr>
              <w:t>31.12.</w:t>
            </w:r>
            <w:r>
              <w:rPr>
                <w:rFonts w:ascii="Tahoma" w:hAnsi="Tahoma" w:cs="Tahoma"/>
                <w:i/>
                <w:iCs/>
                <w:sz w:val="23"/>
                <w:szCs w:val="23"/>
              </w:rPr>
              <w:t>2023</w:t>
            </w:r>
            <w:r w:rsidRPr="001707CF">
              <w:rPr>
                <w:rFonts w:ascii="Tahoma" w:hAnsi="Tahoma" w:cs="Tahoma"/>
                <w:i/>
                <w:iCs/>
                <w:sz w:val="23"/>
                <w:szCs w:val="23"/>
              </w:rPr>
              <w:t>.</w:t>
            </w:r>
          </w:p>
        </w:tc>
      </w:tr>
      <w:tr w:rsidR="00C165F8" w:rsidRPr="001707CF" w14:paraId="2BDCA124" w14:textId="77777777" w:rsidTr="008558ED">
        <w:trPr>
          <w:trHeight w:val="285"/>
          <w:jc w:val="center"/>
        </w:trPr>
        <w:tc>
          <w:tcPr>
            <w:tcW w:w="5529" w:type="dxa"/>
            <w:tcBorders>
              <w:top w:val="nil"/>
              <w:left w:val="nil"/>
              <w:bottom w:val="nil"/>
              <w:right w:val="nil"/>
            </w:tcBorders>
            <w:shd w:val="clear" w:color="auto" w:fill="auto"/>
            <w:noWrap/>
            <w:vAlign w:val="center"/>
            <w:hideMark/>
          </w:tcPr>
          <w:p w14:paraId="6DCDCC43" w14:textId="77777777" w:rsidR="00C165F8" w:rsidRPr="001707CF" w:rsidRDefault="00C165F8" w:rsidP="008558ED">
            <w:pPr>
              <w:rPr>
                <w:rFonts w:ascii="Tahoma" w:hAnsi="Tahoma" w:cs="Tahoma"/>
                <w:sz w:val="23"/>
                <w:szCs w:val="23"/>
              </w:rPr>
            </w:pPr>
            <w:proofErr w:type="spellStart"/>
            <w:r w:rsidRPr="001707CF">
              <w:rPr>
                <w:rFonts w:ascii="Tahoma" w:hAnsi="Tahoma" w:cs="Tahoma"/>
                <w:sz w:val="23"/>
                <w:szCs w:val="23"/>
              </w:rPr>
              <w:t>Potraživanja</w:t>
            </w:r>
            <w:proofErr w:type="spellEnd"/>
            <w:r w:rsidRPr="001707CF">
              <w:rPr>
                <w:rFonts w:ascii="Tahoma" w:hAnsi="Tahoma" w:cs="Tahoma"/>
                <w:sz w:val="23"/>
                <w:szCs w:val="23"/>
              </w:rPr>
              <w:t xml:space="preserve"> po </w:t>
            </w:r>
            <w:proofErr w:type="spellStart"/>
            <w:r w:rsidRPr="001707CF">
              <w:rPr>
                <w:rFonts w:ascii="Tahoma" w:hAnsi="Tahoma" w:cs="Tahoma"/>
                <w:sz w:val="23"/>
                <w:szCs w:val="23"/>
              </w:rPr>
              <w:t>osnovu</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dividendi</w:t>
            </w:r>
            <w:proofErr w:type="spellEnd"/>
          </w:p>
        </w:tc>
        <w:tc>
          <w:tcPr>
            <w:tcW w:w="1664" w:type="dxa"/>
            <w:tcBorders>
              <w:top w:val="nil"/>
              <w:left w:val="nil"/>
              <w:bottom w:val="nil"/>
              <w:right w:val="nil"/>
            </w:tcBorders>
            <w:vAlign w:val="bottom"/>
          </w:tcPr>
          <w:p w14:paraId="0B220B0C" w14:textId="77777777" w:rsidR="00C165F8" w:rsidRPr="001707CF" w:rsidRDefault="00C165F8" w:rsidP="008558ED">
            <w:pPr>
              <w:jc w:val="right"/>
              <w:rPr>
                <w:rFonts w:ascii="Tahoma" w:hAnsi="Tahoma" w:cs="Tahoma"/>
                <w:sz w:val="23"/>
                <w:szCs w:val="23"/>
              </w:rPr>
            </w:pPr>
            <w:r>
              <w:rPr>
                <w:rFonts w:ascii="Tahoma" w:hAnsi="Tahoma" w:cs="Tahoma"/>
                <w:sz w:val="23"/>
                <w:szCs w:val="23"/>
              </w:rPr>
              <w:t>176.695</w:t>
            </w:r>
          </w:p>
        </w:tc>
        <w:tc>
          <w:tcPr>
            <w:tcW w:w="1880" w:type="dxa"/>
            <w:tcBorders>
              <w:top w:val="nil"/>
              <w:left w:val="nil"/>
              <w:bottom w:val="nil"/>
              <w:right w:val="nil"/>
            </w:tcBorders>
            <w:shd w:val="clear" w:color="auto" w:fill="auto"/>
            <w:noWrap/>
            <w:vAlign w:val="bottom"/>
          </w:tcPr>
          <w:p w14:paraId="340E83A2" w14:textId="77777777" w:rsidR="00C165F8" w:rsidRPr="001707CF" w:rsidRDefault="00C165F8" w:rsidP="008558ED">
            <w:pPr>
              <w:jc w:val="right"/>
              <w:rPr>
                <w:rFonts w:ascii="Tahoma" w:hAnsi="Tahoma" w:cs="Tahoma"/>
                <w:sz w:val="23"/>
                <w:szCs w:val="23"/>
              </w:rPr>
            </w:pPr>
            <w:r w:rsidRPr="001707CF">
              <w:rPr>
                <w:rFonts w:ascii="Tahoma" w:hAnsi="Tahoma" w:cs="Tahoma"/>
                <w:sz w:val="23"/>
                <w:szCs w:val="23"/>
              </w:rPr>
              <w:t>170.749</w:t>
            </w:r>
          </w:p>
        </w:tc>
      </w:tr>
      <w:tr w:rsidR="00C165F8" w:rsidRPr="001707CF" w14:paraId="58F14322" w14:textId="77777777" w:rsidTr="008558ED">
        <w:trPr>
          <w:trHeight w:val="285"/>
          <w:jc w:val="center"/>
        </w:trPr>
        <w:tc>
          <w:tcPr>
            <w:tcW w:w="5529" w:type="dxa"/>
            <w:tcBorders>
              <w:top w:val="nil"/>
              <w:left w:val="nil"/>
              <w:bottom w:val="nil"/>
              <w:right w:val="nil"/>
            </w:tcBorders>
            <w:shd w:val="clear" w:color="auto" w:fill="auto"/>
            <w:noWrap/>
            <w:vAlign w:val="center"/>
            <w:hideMark/>
          </w:tcPr>
          <w:p w14:paraId="4A1E99E6" w14:textId="77777777" w:rsidR="00C165F8" w:rsidRPr="001707CF" w:rsidRDefault="00C165F8" w:rsidP="008558ED">
            <w:pPr>
              <w:rPr>
                <w:rFonts w:ascii="Tahoma" w:hAnsi="Tahoma" w:cs="Tahoma"/>
                <w:sz w:val="23"/>
                <w:szCs w:val="23"/>
              </w:rPr>
            </w:pPr>
            <w:proofErr w:type="spellStart"/>
            <w:r w:rsidRPr="001707CF">
              <w:rPr>
                <w:rFonts w:ascii="Tahoma" w:hAnsi="Tahoma" w:cs="Tahoma"/>
                <w:sz w:val="23"/>
                <w:szCs w:val="23"/>
              </w:rPr>
              <w:t>Potraživanja</w:t>
            </w:r>
            <w:proofErr w:type="spellEnd"/>
            <w:r w:rsidRPr="001707CF">
              <w:rPr>
                <w:rFonts w:ascii="Tahoma" w:hAnsi="Tahoma" w:cs="Tahoma"/>
                <w:sz w:val="23"/>
                <w:szCs w:val="23"/>
              </w:rPr>
              <w:t xml:space="preserve"> po </w:t>
            </w:r>
            <w:proofErr w:type="spellStart"/>
            <w:r w:rsidRPr="001707CF">
              <w:rPr>
                <w:rFonts w:ascii="Tahoma" w:hAnsi="Tahoma" w:cs="Tahoma"/>
                <w:sz w:val="23"/>
                <w:szCs w:val="23"/>
              </w:rPr>
              <w:t>osnovu</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datih</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avansa</w:t>
            </w:r>
            <w:proofErr w:type="spellEnd"/>
          </w:p>
        </w:tc>
        <w:tc>
          <w:tcPr>
            <w:tcW w:w="1664" w:type="dxa"/>
            <w:tcBorders>
              <w:top w:val="nil"/>
              <w:left w:val="nil"/>
              <w:bottom w:val="nil"/>
              <w:right w:val="nil"/>
            </w:tcBorders>
            <w:vAlign w:val="bottom"/>
          </w:tcPr>
          <w:p w14:paraId="1302F2C3" w14:textId="77777777" w:rsidR="00C165F8" w:rsidRPr="001707CF" w:rsidRDefault="00C165F8" w:rsidP="008558ED">
            <w:pPr>
              <w:jc w:val="right"/>
              <w:rPr>
                <w:rFonts w:ascii="Tahoma" w:hAnsi="Tahoma" w:cs="Tahoma"/>
                <w:sz w:val="23"/>
                <w:szCs w:val="23"/>
              </w:rPr>
            </w:pPr>
            <w:r>
              <w:rPr>
                <w:rFonts w:ascii="Tahoma" w:hAnsi="Tahoma" w:cs="Tahoma"/>
                <w:sz w:val="23"/>
                <w:szCs w:val="23"/>
              </w:rPr>
              <w:t>-</w:t>
            </w:r>
          </w:p>
        </w:tc>
        <w:tc>
          <w:tcPr>
            <w:tcW w:w="1880" w:type="dxa"/>
            <w:tcBorders>
              <w:top w:val="nil"/>
              <w:left w:val="nil"/>
              <w:bottom w:val="nil"/>
              <w:right w:val="nil"/>
            </w:tcBorders>
            <w:shd w:val="clear" w:color="auto" w:fill="auto"/>
            <w:noWrap/>
            <w:vAlign w:val="bottom"/>
          </w:tcPr>
          <w:p w14:paraId="7327CD06" w14:textId="77777777" w:rsidR="00C165F8" w:rsidRPr="001707CF" w:rsidRDefault="00C165F8" w:rsidP="008558ED">
            <w:pPr>
              <w:jc w:val="right"/>
              <w:rPr>
                <w:rFonts w:ascii="Tahoma" w:hAnsi="Tahoma" w:cs="Tahoma"/>
                <w:sz w:val="23"/>
                <w:szCs w:val="23"/>
              </w:rPr>
            </w:pPr>
            <w:r w:rsidRPr="001707CF">
              <w:rPr>
                <w:rFonts w:ascii="Tahoma" w:hAnsi="Tahoma" w:cs="Tahoma"/>
                <w:sz w:val="23"/>
                <w:szCs w:val="23"/>
              </w:rPr>
              <w:t>-</w:t>
            </w:r>
          </w:p>
        </w:tc>
      </w:tr>
      <w:tr w:rsidR="00C165F8" w:rsidRPr="001707CF" w14:paraId="6BBF11FF" w14:textId="77777777" w:rsidTr="008558ED">
        <w:trPr>
          <w:trHeight w:val="300"/>
          <w:jc w:val="center"/>
        </w:trPr>
        <w:tc>
          <w:tcPr>
            <w:tcW w:w="5529" w:type="dxa"/>
            <w:tcBorders>
              <w:top w:val="nil"/>
              <w:left w:val="nil"/>
              <w:bottom w:val="nil"/>
              <w:right w:val="nil"/>
            </w:tcBorders>
            <w:shd w:val="clear" w:color="auto" w:fill="auto"/>
            <w:noWrap/>
            <w:vAlign w:val="center"/>
            <w:hideMark/>
          </w:tcPr>
          <w:p w14:paraId="3AA9552E" w14:textId="77777777" w:rsidR="00C165F8" w:rsidRPr="001707CF" w:rsidRDefault="00C165F8" w:rsidP="008558ED">
            <w:pPr>
              <w:rPr>
                <w:rFonts w:ascii="Tahoma" w:hAnsi="Tahoma" w:cs="Tahoma"/>
                <w:sz w:val="23"/>
                <w:szCs w:val="23"/>
              </w:rPr>
            </w:pPr>
            <w:proofErr w:type="spellStart"/>
            <w:r w:rsidRPr="001707CF">
              <w:rPr>
                <w:rFonts w:ascii="Tahoma" w:hAnsi="Tahoma" w:cs="Tahoma"/>
                <w:sz w:val="23"/>
                <w:szCs w:val="23"/>
              </w:rPr>
              <w:t>Potraživanja</w:t>
            </w:r>
            <w:proofErr w:type="spellEnd"/>
            <w:r w:rsidRPr="001707CF">
              <w:rPr>
                <w:rFonts w:ascii="Tahoma" w:hAnsi="Tahoma" w:cs="Tahoma"/>
                <w:sz w:val="23"/>
                <w:szCs w:val="23"/>
              </w:rPr>
              <w:t xml:space="preserve"> od </w:t>
            </w:r>
            <w:proofErr w:type="spellStart"/>
            <w:r w:rsidRPr="001707CF">
              <w:rPr>
                <w:rFonts w:ascii="Tahoma" w:hAnsi="Tahoma" w:cs="Tahoma"/>
                <w:sz w:val="23"/>
                <w:szCs w:val="23"/>
              </w:rPr>
              <w:t>društva</w:t>
            </w:r>
            <w:proofErr w:type="spellEnd"/>
            <w:r w:rsidRPr="001707CF">
              <w:rPr>
                <w:rFonts w:ascii="Tahoma" w:hAnsi="Tahoma" w:cs="Tahoma"/>
                <w:sz w:val="23"/>
                <w:szCs w:val="23"/>
              </w:rPr>
              <w:t xml:space="preserve"> za </w:t>
            </w:r>
            <w:proofErr w:type="spellStart"/>
            <w:r w:rsidRPr="001707CF">
              <w:rPr>
                <w:rFonts w:ascii="Tahoma" w:hAnsi="Tahoma" w:cs="Tahoma"/>
                <w:sz w:val="23"/>
                <w:szCs w:val="23"/>
              </w:rPr>
              <w:t>upravljanje</w:t>
            </w:r>
            <w:proofErr w:type="spellEnd"/>
          </w:p>
        </w:tc>
        <w:tc>
          <w:tcPr>
            <w:tcW w:w="1664" w:type="dxa"/>
            <w:tcBorders>
              <w:top w:val="nil"/>
              <w:left w:val="nil"/>
              <w:bottom w:val="double" w:sz="6" w:space="0" w:color="auto"/>
              <w:right w:val="nil"/>
            </w:tcBorders>
            <w:vAlign w:val="bottom"/>
          </w:tcPr>
          <w:p w14:paraId="0D3599C9" w14:textId="77777777" w:rsidR="00C165F8" w:rsidRPr="001707CF" w:rsidRDefault="00C165F8" w:rsidP="008558ED">
            <w:pPr>
              <w:jc w:val="right"/>
              <w:rPr>
                <w:rFonts w:ascii="Tahoma" w:hAnsi="Tahoma" w:cs="Tahoma"/>
                <w:sz w:val="23"/>
                <w:szCs w:val="23"/>
              </w:rPr>
            </w:pPr>
            <w:r>
              <w:rPr>
                <w:rFonts w:ascii="Tahoma" w:hAnsi="Tahoma" w:cs="Tahoma"/>
                <w:sz w:val="23"/>
                <w:szCs w:val="23"/>
              </w:rPr>
              <w:t>21</w:t>
            </w:r>
          </w:p>
        </w:tc>
        <w:tc>
          <w:tcPr>
            <w:tcW w:w="1880" w:type="dxa"/>
            <w:tcBorders>
              <w:top w:val="nil"/>
              <w:left w:val="nil"/>
              <w:bottom w:val="double" w:sz="6" w:space="0" w:color="auto"/>
              <w:right w:val="nil"/>
            </w:tcBorders>
            <w:shd w:val="clear" w:color="auto" w:fill="auto"/>
            <w:noWrap/>
            <w:vAlign w:val="bottom"/>
          </w:tcPr>
          <w:p w14:paraId="5C595FDA" w14:textId="77777777" w:rsidR="00C165F8" w:rsidRPr="001707CF" w:rsidRDefault="00C165F8" w:rsidP="008558ED">
            <w:pPr>
              <w:jc w:val="right"/>
              <w:rPr>
                <w:rFonts w:ascii="Tahoma" w:hAnsi="Tahoma" w:cs="Tahoma"/>
                <w:sz w:val="23"/>
                <w:szCs w:val="23"/>
              </w:rPr>
            </w:pPr>
            <w:r w:rsidRPr="001707CF">
              <w:rPr>
                <w:rFonts w:ascii="Tahoma" w:hAnsi="Tahoma" w:cs="Tahoma"/>
                <w:sz w:val="23"/>
                <w:szCs w:val="23"/>
              </w:rPr>
              <w:t>33</w:t>
            </w:r>
          </w:p>
        </w:tc>
      </w:tr>
      <w:tr w:rsidR="00C165F8" w:rsidRPr="001707CF" w14:paraId="30FBCB2A" w14:textId="77777777" w:rsidTr="008558ED">
        <w:trPr>
          <w:trHeight w:val="300"/>
          <w:jc w:val="center"/>
        </w:trPr>
        <w:tc>
          <w:tcPr>
            <w:tcW w:w="5529" w:type="dxa"/>
            <w:tcBorders>
              <w:top w:val="nil"/>
              <w:left w:val="nil"/>
              <w:bottom w:val="single" w:sz="4" w:space="0" w:color="auto"/>
              <w:right w:val="nil"/>
            </w:tcBorders>
            <w:shd w:val="clear" w:color="auto" w:fill="auto"/>
            <w:noWrap/>
            <w:vAlign w:val="center"/>
            <w:hideMark/>
          </w:tcPr>
          <w:p w14:paraId="1C2261BE" w14:textId="77777777" w:rsidR="00C165F8" w:rsidRPr="001707CF" w:rsidRDefault="00C165F8" w:rsidP="008558ED">
            <w:pPr>
              <w:rPr>
                <w:rFonts w:ascii="Tahoma" w:hAnsi="Tahoma" w:cs="Tahoma"/>
                <w:b/>
                <w:bCs/>
                <w:sz w:val="23"/>
                <w:szCs w:val="23"/>
              </w:rPr>
            </w:pPr>
            <w:proofErr w:type="spellStart"/>
            <w:r w:rsidRPr="001707CF">
              <w:rPr>
                <w:rFonts w:ascii="Tahoma" w:hAnsi="Tahoma" w:cs="Tahoma"/>
                <w:b/>
                <w:bCs/>
                <w:sz w:val="23"/>
                <w:szCs w:val="23"/>
              </w:rPr>
              <w:t>Ukupno</w:t>
            </w:r>
            <w:proofErr w:type="spellEnd"/>
            <w:r w:rsidRPr="001707CF">
              <w:rPr>
                <w:rFonts w:ascii="Tahoma" w:hAnsi="Tahoma" w:cs="Tahoma"/>
                <w:b/>
                <w:bCs/>
                <w:sz w:val="23"/>
                <w:szCs w:val="23"/>
              </w:rPr>
              <w:t xml:space="preserve"> </w:t>
            </w:r>
            <w:proofErr w:type="spellStart"/>
            <w:r w:rsidRPr="001707CF">
              <w:rPr>
                <w:rFonts w:ascii="Tahoma" w:hAnsi="Tahoma" w:cs="Tahoma"/>
                <w:b/>
                <w:bCs/>
                <w:sz w:val="23"/>
                <w:szCs w:val="23"/>
              </w:rPr>
              <w:t>potraživanja</w:t>
            </w:r>
            <w:proofErr w:type="spellEnd"/>
          </w:p>
        </w:tc>
        <w:tc>
          <w:tcPr>
            <w:tcW w:w="1664" w:type="dxa"/>
            <w:tcBorders>
              <w:top w:val="nil"/>
              <w:left w:val="nil"/>
              <w:bottom w:val="single" w:sz="4" w:space="0" w:color="auto"/>
              <w:right w:val="nil"/>
            </w:tcBorders>
            <w:vAlign w:val="center"/>
          </w:tcPr>
          <w:p w14:paraId="6E0C8479" w14:textId="77777777" w:rsidR="00C165F8" w:rsidRPr="001707CF" w:rsidRDefault="00C165F8" w:rsidP="008558ED">
            <w:pPr>
              <w:jc w:val="right"/>
              <w:rPr>
                <w:rFonts w:ascii="Tahoma" w:hAnsi="Tahoma" w:cs="Tahoma"/>
                <w:b/>
                <w:bCs/>
                <w:sz w:val="23"/>
                <w:szCs w:val="23"/>
              </w:rPr>
            </w:pPr>
            <w:r>
              <w:rPr>
                <w:rFonts w:ascii="Tahoma" w:hAnsi="Tahoma" w:cs="Tahoma"/>
                <w:b/>
                <w:bCs/>
                <w:sz w:val="23"/>
                <w:szCs w:val="23"/>
              </w:rPr>
              <w:t>176.716</w:t>
            </w:r>
          </w:p>
        </w:tc>
        <w:tc>
          <w:tcPr>
            <w:tcW w:w="1880" w:type="dxa"/>
            <w:tcBorders>
              <w:top w:val="nil"/>
              <w:left w:val="nil"/>
              <w:bottom w:val="single" w:sz="4" w:space="0" w:color="auto"/>
              <w:right w:val="nil"/>
            </w:tcBorders>
            <w:shd w:val="clear" w:color="auto" w:fill="auto"/>
            <w:noWrap/>
            <w:vAlign w:val="center"/>
          </w:tcPr>
          <w:p w14:paraId="7142F69D" w14:textId="77777777" w:rsidR="00C165F8" w:rsidRPr="001707CF" w:rsidRDefault="00C165F8" w:rsidP="008558ED">
            <w:pPr>
              <w:jc w:val="right"/>
              <w:rPr>
                <w:rFonts w:ascii="Tahoma" w:hAnsi="Tahoma" w:cs="Tahoma"/>
                <w:b/>
                <w:bCs/>
                <w:sz w:val="23"/>
                <w:szCs w:val="23"/>
              </w:rPr>
            </w:pPr>
            <w:r w:rsidRPr="001707CF">
              <w:rPr>
                <w:rFonts w:ascii="Tahoma" w:hAnsi="Tahoma" w:cs="Tahoma"/>
                <w:b/>
                <w:bCs/>
                <w:sz w:val="23"/>
                <w:szCs w:val="23"/>
              </w:rPr>
              <w:t>170.782</w:t>
            </w:r>
          </w:p>
        </w:tc>
      </w:tr>
    </w:tbl>
    <w:p w14:paraId="46ADD3EA" w14:textId="77777777" w:rsidR="00C165F8" w:rsidRPr="001044C3" w:rsidRDefault="00C165F8" w:rsidP="00C165F8">
      <w:pPr>
        <w:tabs>
          <w:tab w:val="left" w:pos="8789"/>
        </w:tabs>
        <w:spacing w:after="120"/>
        <w:ind w:right="851"/>
        <w:jc w:val="both"/>
        <w:rPr>
          <w:rFonts w:ascii="Tahoma" w:hAnsi="Tahoma" w:cs="Tahoma"/>
          <w:i/>
          <w:sz w:val="23"/>
          <w:szCs w:val="23"/>
          <w:lang w:val="sr-Latn-BA"/>
        </w:rPr>
      </w:pPr>
    </w:p>
    <w:p w14:paraId="15A780B1" w14:textId="77777777" w:rsidR="00C165F8" w:rsidRPr="001044C3" w:rsidRDefault="00C165F8" w:rsidP="00C165F8">
      <w:pPr>
        <w:autoSpaceDE w:val="0"/>
        <w:autoSpaceDN w:val="0"/>
        <w:adjustRightInd w:val="0"/>
        <w:spacing w:after="120"/>
        <w:rPr>
          <w:rFonts w:ascii="Tahoma" w:hAnsi="Tahoma" w:cs="Tahoma"/>
          <w:bCs/>
          <w:sz w:val="23"/>
          <w:szCs w:val="23"/>
          <w:lang w:val="sr-Latn-BA"/>
        </w:rPr>
      </w:pPr>
      <w:r w:rsidRPr="001044C3">
        <w:rPr>
          <w:rFonts w:ascii="Tahoma" w:hAnsi="Tahoma" w:cs="Tahoma"/>
          <w:iCs/>
          <w:sz w:val="23"/>
          <w:szCs w:val="23"/>
          <w:lang w:val="sr-Latn-BA"/>
        </w:rPr>
        <w:t xml:space="preserve">Na dan 31. decembra 2024. godine, potraživanja za dividendu su iznosila 176.695 i najvećim dijelom, u iznosu od 170.749 KM su se odnosila na </w:t>
      </w:r>
      <w:r w:rsidRPr="001044C3">
        <w:rPr>
          <w:rFonts w:ascii="Tahoma" w:hAnsi="Tahoma" w:cs="Tahoma"/>
          <w:bCs/>
          <w:sz w:val="23"/>
          <w:szCs w:val="23"/>
          <w:lang w:val="sr-Latn-BA"/>
        </w:rPr>
        <w:t>Hidroelektrane na Vrbasu a.d. Mrkonjić Grad;BHTSR – 3.822,00; KRKA 2.124,00 KM</w:t>
      </w:r>
    </w:p>
    <w:p w14:paraId="5600C11E" w14:textId="77777777" w:rsidR="00C165F8" w:rsidRPr="001707CF" w:rsidRDefault="00C165F8" w:rsidP="00C165F8">
      <w:pPr>
        <w:tabs>
          <w:tab w:val="left" w:pos="8789"/>
        </w:tabs>
        <w:spacing w:after="120"/>
        <w:ind w:right="851"/>
        <w:jc w:val="center"/>
        <w:rPr>
          <w:rFonts w:ascii="Tahoma" w:hAnsi="Tahoma" w:cs="Tahoma"/>
          <w:i/>
          <w:sz w:val="23"/>
          <w:szCs w:val="23"/>
          <w:lang w:val="sr-Latn-BA"/>
        </w:rPr>
      </w:pPr>
    </w:p>
    <w:p w14:paraId="75FD8C4A" w14:textId="77777777" w:rsidR="00C165F8" w:rsidRPr="001707CF" w:rsidRDefault="00C165F8" w:rsidP="00C165F8">
      <w:pPr>
        <w:numPr>
          <w:ilvl w:val="0"/>
          <w:numId w:val="22"/>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OBAVEZE FONDA</w:t>
      </w:r>
    </w:p>
    <w:p w14:paraId="1AFBDE68" w14:textId="77777777" w:rsidR="00C165F8" w:rsidRPr="001707CF" w:rsidRDefault="00C165F8" w:rsidP="00C165F8">
      <w:pPr>
        <w:spacing w:after="120"/>
        <w:jc w:val="both"/>
        <w:rPr>
          <w:rFonts w:ascii="Tahoma" w:hAnsi="Tahoma" w:cs="Tahoma"/>
          <w:sz w:val="23"/>
          <w:szCs w:val="23"/>
          <w:lang w:val="sr-Latn-BA"/>
        </w:rPr>
      </w:pPr>
      <w:r w:rsidRPr="001707CF">
        <w:rPr>
          <w:rFonts w:ascii="Tahoma" w:hAnsi="Tahoma" w:cs="Tahoma"/>
          <w:sz w:val="23"/>
          <w:szCs w:val="23"/>
          <w:lang w:val="sr-Latn-BA"/>
        </w:rPr>
        <w:t>Struktura obaveza Fonda sa stanjem na dan 31.12.</w:t>
      </w:r>
      <w:r>
        <w:rPr>
          <w:rFonts w:ascii="Tahoma" w:hAnsi="Tahoma" w:cs="Tahoma"/>
          <w:sz w:val="23"/>
          <w:szCs w:val="23"/>
          <w:lang w:val="sr-Latn-BA"/>
        </w:rPr>
        <w:t>2024</w:t>
      </w:r>
      <w:r w:rsidRPr="001707CF">
        <w:rPr>
          <w:rFonts w:ascii="Tahoma" w:hAnsi="Tahoma" w:cs="Tahoma"/>
          <w:sz w:val="23"/>
          <w:szCs w:val="23"/>
          <w:lang w:val="sr-Latn-BA"/>
        </w:rPr>
        <w:t>. godine je data u sljedećoj tabeli:</w:t>
      </w:r>
    </w:p>
    <w:tbl>
      <w:tblPr>
        <w:tblW w:w="9620" w:type="dxa"/>
        <w:jc w:val="center"/>
        <w:tblLook w:val="04A0" w:firstRow="1" w:lastRow="0" w:firstColumn="1" w:lastColumn="0" w:noHBand="0" w:noVBand="1"/>
      </w:tblPr>
      <w:tblGrid>
        <w:gridCol w:w="5860"/>
        <w:gridCol w:w="1880"/>
        <w:gridCol w:w="1880"/>
      </w:tblGrid>
      <w:tr w:rsidR="00C165F8" w:rsidRPr="001707CF" w14:paraId="6277BC18" w14:textId="77777777" w:rsidTr="008558ED">
        <w:trPr>
          <w:trHeight w:val="498"/>
          <w:tblHeader/>
          <w:jc w:val="center"/>
        </w:trPr>
        <w:tc>
          <w:tcPr>
            <w:tcW w:w="5860" w:type="dxa"/>
            <w:tcBorders>
              <w:top w:val="single" w:sz="4" w:space="0" w:color="auto"/>
              <w:left w:val="nil"/>
              <w:bottom w:val="single" w:sz="4" w:space="0" w:color="auto"/>
              <w:right w:val="nil"/>
            </w:tcBorders>
            <w:shd w:val="clear" w:color="auto" w:fill="auto"/>
            <w:vAlign w:val="center"/>
            <w:hideMark/>
          </w:tcPr>
          <w:p w14:paraId="4B90086F" w14:textId="77777777" w:rsidR="00C165F8" w:rsidRPr="001707CF" w:rsidRDefault="00C165F8" w:rsidP="008558ED">
            <w:pPr>
              <w:jc w:val="center"/>
              <w:rPr>
                <w:rFonts w:ascii="Tahoma" w:hAnsi="Tahoma" w:cs="Tahoma"/>
                <w:i/>
                <w:iCs/>
                <w:sz w:val="23"/>
                <w:szCs w:val="23"/>
                <w:lang w:val="sr-Latn-BA" w:eastAsia="sr-Latn-BA"/>
              </w:rPr>
            </w:pPr>
            <w:proofErr w:type="spellStart"/>
            <w:r w:rsidRPr="001707CF">
              <w:rPr>
                <w:rFonts w:ascii="Tahoma" w:hAnsi="Tahoma" w:cs="Tahoma"/>
                <w:i/>
                <w:iCs/>
                <w:sz w:val="23"/>
                <w:szCs w:val="23"/>
              </w:rPr>
              <w:t>Opis</w:t>
            </w:r>
            <w:proofErr w:type="spellEnd"/>
          </w:p>
        </w:tc>
        <w:tc>
          <w:tcPr>
            <w:tcW w:w="1880" w:type="dxa"/>
            <w:tcBorders>
              <w:top w:val="single" w:sz="4" w:space="0" w:color="auto"/>
              <w:left w:val="nil"/>
              <w:bottom w:val="single" w:sz="4" w:space="0" w:color="auto"/>
              <w:right w:val="nil"/>
            </w:tcBorders>
            <w:shd w:val="clear" w:color="auto" w:fill="auto"/>
            <w:noWrap/>
            <w:vAlign w:val="center"/>
            <w:hideMark/>
          </w:tcPr>
          <w:p w14:paraId="6FA05D31" w14:textId="77777777" w:rsidR="00C165F8" w:rsidRPr="001707CF" w:rsidRDefault="00C165F8" w:rsidP="008558ED">
            <w:pPr>
              <w:jc w:val="center"/>
              <w:rPr>
                <w:rFonts w:ascii="Tahoma" w:hAnsi="Tahoma" w:cs="Tahoma"/>
                <w:i/>
                <w:iCs/>
                <w:sz w:val="23"/>
                <w:szCs w:val="23"/>
              </w:rPr>
            </w:pPr>
            <w:r w:rsidRPr="001707CF">
              <w:rPr>
                <w:rFonts w:ascii="Tahoma" w:hAnsi="Tahoma" w:cs="Tahoma"/>
                <w:i/>
                <w:iCs/>
                <w:sz w:val="23"/>
                <w:szCs w:val="23"/>
              </w:rPr>
              <w:t>31.12.</w:t>
            </w:r>
            <w:r>
              <w:rPr>
                <w:rFonts w:ascii="Tahoma" w:hAnsi="Tahoma" w:cs="Tahoma"/>
                <w:i/>
                <w:iCs/>
                <w:sz w:val="23"/>
                <w:szCs w:val="23"/>
              </w:rPr>
              <w:t>2024</w:t>
            </w:r>
            <w:r w:rsidRPr="001707CF">
              <w:rPr>
                <w:rFonts w:ascii="Tahoma" w:hAnsi="Tahoma" w:cs="Tahoma"/>
                <w:i/>
                <w:iCs/>
                <w:sz w:val="23"/>
                <w:szCs w:val="23"/>
              </w:rPr>
              <w:t>.</w:t>
            </w:r>
          </w:p>
        </w:tc>
        <w:tc>
          <w:tcPr>
            <w:tcW w:w="1880" w:type="dxa"/>
            <w:tcBorders>
              <w:top w:val="single" w:sz="4" w:space="0" w:color="auto"/>
              <w:left w:val="nil"/>
              <w:bottom w:val="single" w:sz="4" w:space="0" w:color="auto"/>
              <w:right w:val="nil"/>
            </w:tcBorders>
            <w:shd w:val="clear" w:color="auto" w:fill="auto"/>
            <w:noWrap/>
            <w:vAlign w:val="center"/>
            <w:hideMark/>
          </w:tcPr>
          <w:p w14:paraId="76241CF4" w14:textId="77777777" w:rsidR="00C165F8" w:rsidRPr="001707CF" w:rsidRDefault="00C165F8" w:rsidP="008558ED">
            <w:pPr>
              <w:jc w:val="center"/>
              <w:rPr>
                <w:rFonts w:ascii="Tahoma" w:hAnsi="Tahoma" w:cs="Tahoma"/>
                <w:i/>
                <w:iCs/>
                <w:sz w:val="23"/>
                <w:szCs w:val="23"/>
              </w:rPr>
            </w:pPr>
            <w:r w:rsidRPr="001707CF">
              <w:rPr>
                <w:rFonts w:ascii="Tahoma" w:hAnsi="Tahoma" w:cs="Tahoma"/>
                <w:i/>
                <w:iCs/>
                <w:sz w:val="23"/>
                <w:szCs w:val="23"/>
              </w:rPr>
              <w:t>31.12.</w:t>
            </w:r>
            <w:r>
              <w:rPr>
                <w:rFonts w:ascii="Tahoma" w:hAnsi="Tahoma" w:cs="Tahoma"/>
                <w:i/>
                <w:iCs/>
                <w:sz w:val="23"/>
                <w:szCs w:val="23"/>
              </w:rPr>
              <w:t>2023</w:t>
            </w:r>
            <w:r w:rsidRPr="001707CF">
              <w:rPr>
                <w:rFonts w:ascii="Tahoma" w:hAnsi="Tahoma" w:cs="Tahoma"/>
                <w:i/>
                <w:iCs/>
                <w:sz w:val="23"/>
                <w:szCs w:val="23"/>
              </w:rPr>
              <w:t>.</w:t>
            </w:r>
          </w:p>
        </w:tc>
      </w:tr>
      <w:tr w:rsidR="00C165F8" w:rsidRPr="001707CF" w14:paraId="3914498E" w14:textId="77777777" w:rsidTr="008558ED">
        <w:trPr>
          <w:trHeight w:val="285"/>
          <w:jc w:val="center"/>
        </w:trPr>
        <w:tc>
          <w:tcPr>
            <w:tcW w:w="5860" w:type="dxa"/>
            <w:tcBorders>
              <w:top w:val="nil"/>
              <w:left w:val="nil"/>
              <w:bottom w:val="nil"/>
              <w:right w:val="nil"/>
            </w:tcBorders>
            <w:shd w:val="clear" w:color="auto" w:fill="auto"/>
            <w:noWrap/>
            <w:vAlign w:val="center"/>
          </w:tcPr>
          <w:p w14:paraId="2677BD83" w14:textId="77777777" w:rsidR="00C165F8" w:rsidRPr="001707CF" w:rsidRDefault="00C165F8" w:rsidP="008558ED">
            <w:pPr>
              <w:rPr>
                <w:rFonts w:ascii="Tahoma" w:hAnsi="Tahoma" w:cs="Tahoma"/>
                <w:sz w:val="23"/>
                <w:szCs w:val="23"/>
              </w:rPr>
            </w:pPr>
            <w:proofErr w:type="spellStart"/>
            <w:r w:rsidRPr="001707CF">
              <w:rPr>
                <w:rFonts w:ascii="Tahoma" w:hAnsi="Tahoma" w:cs="Tahoma"/>
                <w:sz w:val="23"/>
                <w:szCs w:val="23"/>
              </w:rPr>
              <w:t>Obaveze</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prema</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društvu</w:t>
            </w:r>
            <w:proofErr w:type="spellEnd"/>
            <w:r w:rsidRPr="001707CF">
              <w:rPr>
                <w:rFonts w:ascii="Tahoma" w:hAnsi="Tahoma" w:cs="Tahoma"/>
                <w:sz w:val="23"/>
                <w:szCs w:val="23"/>
              </w:rPr>
              <w:t xml:space="preserve"> za </w:t>
            </w:r>
            <w:proofErr w:type="spellStart"/>
            <w:r w:rsidRPr="001707CF">
              <w:rPr>
                <w:rFonts w:ascii="Tahoma" w:hAnsi="Tahoma" w:cs="Tahoma"/>
                <w:sz w:val="23"/>
                <w:szCs w:val="23"/>
              </w:rPr>
              <w:t>upravljanje</w:t>
            </w:r>
            <w:proofErr w:type="spellEnd"/>
          </w:p>
        </w:tc>
        <w:tc>
          <w:tcPr>
            <w:tcW w:w="1880" w:type="dxa"/>
            <w:tcBorders>
              <w:top w:val="nil"/>
              <w:left w:val="nil"/>
              <w:bottom w:val="nil"/>
              <w:right w:val="nil"/>
            </w:tcBorders>
            <w:shd w:val="clear" w:color="auto" w:fill="auto"/>
            <w:noWrap/>
            <w:vAlign w:val="center"/>
          </w:tcPr>
          <w:p w14:paraId="5AAE076E" w14:textId="77777777" w:rsidR="00C165F8" w:rsidRPr="001707CF" w:rsidRDefault="00C165F8" w:rsidP="008558ED">
            <w:pPr>
              <w:jc w:val="right"/>
              <w:rPr>
                <w:rFonts w:ascii="Tahoma" w:hAnsi="Tahoma" w:cs="Tahoma"/>
                <w:sz w:val="23"/>
                <w:szCs w:val="23"/>
              </w:rPr>
            </w:pPr>
            <w:r>
              <w:rPr>
                <w:rFonts w:ascii="Tahoma" w:hAnsi="Tahoma" w:cs="Tahoma"/>
                <w:sz w:val="23"/>
                <w:szCs w:val="23"/>
              </w:rPr>
              <w:t>18.692</w:t>
            </w:r>
          </w:p>
        </w:tc>
        <w:tc>
          <w:tcPr>
            <w:tcW w:w="1880" w:type="dxa"/>
            <w:tcBorders>
              <w:top w:val="nil"/>
              <w:left w:val="nil"/>
              <w:bottom w:val="nil"/>
              <w:right w:val="nil"/>
            </w:tcBorders>
            <w:shd w:val="clear" w:color="auto" w:fill="auto"/>
            <w:noWrap/>
            <w:vAlign w:val="center"/>
          </w:tcPr>
          <w:p w14:paraId="615FF3AE" w14:textId="77777777" w:rsidR="00C165F8" w:rsidRPr="001707CF" w:rsidRDefault="00C165F8" w:rsidP="008558ED">
            <w:pPr>
              <w:jc w:val="right"/>
              <w:rPr>
                <w:rFonts w:ascii="Tahoma" w:hAnsi="Tahoma" w:cs="Tahoma"/>
                <w:sz w:val="23"/>
                <w:szCs w:val="23"/>
              </w:rPr>
            </w:pPr>
            <w:r w:rsidRPr="001707CF">
              <w:rPr>
                <w:rFonts w:ascii="Tahoma" w:hAnsi="Tahoma" w:cs="Tahoma"/>
                <w:sz w:val="23"/>
                <w:szCs w:val="23"/>
              </w:rPr>
              <w:t>19.786</w:t>
            </w:r>
          </w:p>
        </w:tc>
      </w:tr>
      <w:tr w:rsidR="00C165F8" w:rsidRPr="001707CF" w14:paraId="09357B37" w14:textId="77777777" w:rsidTr="008558ED">
        <w:trPr>
          <w:trHeight w:val="285"/>
          <w:jc w:val="center"/>
        </w:trPr>
        <w:tc>
          <w:tcPr>
            <w:tcW w:w="5860" w:type="dxa"/>
            <w:tcBorders>
              <w:top w:val="nil"/>
              <w:left w:val="nil"/>
              <w:bottom w:val="nil"/>
              <w:right w:val="nil"/>
            </w:tcBorders>
            <w:shd w:val="clear" w:color="auto" w:fill="auto"/>
            <w:noWrap/>
            <w:vAlign w:val="center"/>
          </w:tcPr>
          <w:p w14:paraId="5A56A347" w14:textId="77777777" w:rsidR="00C165F8" w:rsidRPr="001707CF" w:rsidRDefault="00C165F8" w:rsidP="008558ED">
            <w:pPr>
              <w:rPr>
                <w:rFonts w:ascii="Tahoma" w:hAnsi="Tahoma" w:cs="Tahoma"/>
                <w:sz w:val="23"/>
                <w:szCs w:val="23"/>
              </w:rPr>
            </w:pPr>
            <w:proofErr w:type="spellStart"/>
            <w:r w:rsidRPr="001707CF">
              <w:rPr>
                <w:rFonts w:ascii="Tahoma" w:hAnsi="Tahoma" w:cs="Tahoma"/>
                <w:sz w:val="23"/>
                <w:szCs w:val="23"/>
              </w:rPr>
              <w:t>Obaveze</w:t>
            </w:r>
            <w:proofErr w:type="spellEnd"/>
            <w:r w:rsidRPr="001707CF">
              <w:rPr>
                <w:rFonts w:ascii="Tahoma" w:hAnsi="Tahoma" w:cs="Tahoma"/>
                <w:sz w:val="23"/>
                <w:szCs w:val="23"/>
              </w:rPr>
              <w:t xml:space="preserve"> za </w:t>
            </w:r>
            <w:proofErr w:type="spellStart"/>
            <w:r w:rsidRPr="001707CF">
              <w:rPr>
                <w:rFonts w:ascii="Tahoma" w:hAnsi="Tahoma" w:cs="Tahoma"/>
                <w:sz w:val="23"/>
                <w:szCs w:val="23"/>
              </w:rPr>
              <w:t>izlaznu</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naknadu</w:t>
            </w:r>
            <w:proofErr w:type="spellEnd"/>
          </w:p>
        </w:tc>
        <w:tc>
          <w:tcPr>
            <w:tcW w:w="1880" w:type="dxa"/>
            <w:tcBorders>
              <w:top w:val="nil"/>
              <w:left w:val="nil"/>
              <w:right w:val="nil"/>
            </w:tcBorders>
            <w:shd w:val="clear" w:color="auto" w:fill="auto"/>
            <w:noWrap/>
            <w:vAlign w:val="center"/>
          </w:tcPr>
          <w:p w14:paraId="48C2BAB3" w14:textId="77777777" w:rsidR="00C165F8" w:rsidRPr="001707CF" w:rsidRDefault="00C165F8" w:rsidP="008558ED">
            <w:pPr>
              <w:jc w:val="right"/>
              <w:rPr>
                <w:rFonts w:ascii="Tahoma" w:hAnsi="Tahoma" w:cs="Tahoma"/>
                <w:sz w:val="23"/>
                <w:szCs w:val="23"/>
              </w:rPr>
            </w:pPr>
            <w:r>
              <w:rPr>
                <w:rFonts w:ascii="Tahoma" w:hAnsi="Tahoma" w:cs="Tahoma"/>
                <w:sz w:val="23"/>
                <w:szCs w:val="23"/>
              </w:rPr>
              <w:t>4</w:t>
            </w:r>
          </w:p>
        </w:tc>
        <w:tc>
          <w:tcPr>
            <w:tcW w:w="1880" w:type="dxa"/>
            <w:tcBorders>
              <w:top w:val="nil"/>
              <w:left w:val="nil"/>
              <w:right w:val="nil"/>
            </w:tcBorders>
            <w:shd w:val="clear" w:color="auto" w:fill="auto"/>
            <w:noWrap/>
            <w:vAlign w:val="center"/>
          </w:tcPr>
          <w:p w14:paraId="7181520C" w14:textId="77777777" w:rsidR="00C165F8" w:rsidRPr="001707CF" w:rsidRDefault="00C165F8" w:rsidP="008558ED">
            <w:pPr>
              <w:jc w:val="right"/>
              <w:rPr>
                <w:rFonts w:ascii="Tahoma" w:hAnsi="Tahoma" w:cs="Tahoma"/>
                <w:sz w:val="23"/>
                <w:szCs w:val="23"/>
              </w:rPr>
            </w:pPr>
            <w:r w:rsidRPr="001707CF">
              <w:rPr>
                <w:rFonts w:ascii="Tahoma" w:hAnsi="Tahoma" w:cs="Tahoma"/>
                <w:sz w:val="23"/>
                <w:szCs w:val="23"/>
              </w:rPr>
              <w:t>44</w:t>
            </w:r>
          </w:p>
        </w:tc>
      </w:tr>
      <w:tr w:rsidR="00C165F8" w:rsidRPr="001707CF" w14:paraId="61EDB8FB" w14:textId="77777777" w:rsidTr="008558ED">
        <w:trPr>
          <w:trHeight w:val="285"/>
          <w:jc w:val="center"/>
        </w:trPr>
        <w:tc>
          <w:tcPr>
            <w:tcW w:w="5860" w:type="dxa"/>
            <w:tcBorders>
              <w:top w:val="nil"/>
              <w:left w:val="nil"/>
              <w:bottom w:val="nil"/>
              <w:right w:val="nil"/>
            </w:tcBorders>
            <w:shd w:val="clear" w:color="auto" w:fill="auto"/>
            <w:noWrap/>
            <w:vAlign w:val="center"/>
          </w:tcPr>
          <w:p w14:paraId="63C4B356" w14:textId="77777777" w:rsidR="00C165F8" w:rsidRPr="001707CF" w:rsidRDefault="00C165F8" w:rsidP="008558ED">
            <w:pPr>
              <w:rPr>
                <w:rFonts w:ascii="Tahoma" w:hAnsi="Tahoma" w:cs="Tahoma"/>
                <w:sz w:val="23"/>
                <w:szCs w:val="23"/>
              </w:rPr>
            </w:pPr>
            <w:r w:rsidRPr="001707CF">
              <w:rPr>
                <w:rFonts w:ascii="Tahoma" w:hAnsi="Tahoma" w:cs="Tahoma"/>
                <w:sz w:val="23"/>
                <w:szCs w:val="23"/>
              </w:rPr>
              <w:t>PVR</w:t>
            </w:r>
          </w:p>
        </w:tc>
        <w:tc>
          <w:tcPr>
            <w:tcW w:w="1880" w:type="dxa"/>
            <w:tcBorders>
              <w:top w:val="nil"/>
              <w:left w:val="nil"/>
              <w:bottom w:val="double" w:sz="4" w:space="0" w:color="auto"/>
              <w:right w:val="nil"/>
            </w:tcBorders>
            <w:shd w:val="clear" w:color="auto" w:fill="auto"/>
            <w:noWrap/>
            <w:vAlign w:val="center"/>
          </w:tcPr>
          <w:p w14:paraId="0C20D997" w14:textId="77777777" w:rsidR="00C165F8" w:rsidRPr="001707CF" w:rsidRDefault="00C165F8" w:rsidP="008558ED">
            <w:pPr>
              <w:jc w:val="right"/>
              <w:rPr>
                <w:rFonts w:ascii="Tahoma" w:hAnsi="Tahoma" w:cs="Tahoma"/>
                <w:sz w:val="23"/>
                <w:szCs w:val="23"/>
              </w:rPr>
            </w:pPr>
            <w:r>
              <w:rPr>
                <w:rFonts w:ascii="Tahoma" w:hAnsi="Tahoma" w:cs="Tahoma"/>
                <w:sz w:val="23"/>
                <w:szCs w:val="23"/>
              </w:rPr>
              <w:t>71.173</w:t>
            </w:r>
          </w:p>
        </w:tc>
        <w:tc>
          <w:tcPr>
            <w:tcW w:w="1880" w:type="dxa"/>
            <w:tcBorders>
              <w:top w:val="nil"/>
              <w:left w:val="nil"/>
              <w:bottom w:val="double" w:sz="4" w:space="0" w:color="auto"/>
              <w:right w:val="nil"/>
            </w:tcBorders>
            <w:shd w:val="clear" w:color="auto" w:fill="auto"/>
            <w:noWrap/>
            <w:vAlign w:val="center"/>
          </w:tcPr>
          <w:p w14:paraId="6348262F" w14:textId="77777777" w:rsidR="00C165F8" w:rsidRPr="001707CF" w:rsidRDefault="00C165F8" w:rsidP="008558ED">
            <w:pPr>
              <w:jc w:val="right"/>
              <w:rPr>
                <w:rFonts w:ascii="Tahoma" w:hAnsi="Tahoma" w:cs="Tahoma"/>
                <w:sz w:val="23"/>
                <w:szCs w:val="23"/>
              </w:rPr>
            </w:pPr>
            <w:r w:rsidRPr="001707CF">
              <w:rPr>
                <w:rFonts w:ascii="Tahoma" w:hAnsi="Tahoma" w:cs="Tahoma"/>
                <w:sz w:val="23"/>
                <w:szCs w:val="23"/>
              </w:rPr>
              <w:t>71.143</w:t>
            </w:r>
          </w:p>
        </w:tc>
      </w:tr>
      <w:tr w:rsidR="00C165F8" w:rsidRPr="001707CF" w14:paraId="11896A5F" w14:textId="77777777" w:rsidTr="008558ED">
        <w:trPr>
          <w:trHeight w:val="300"/>
          <w:jc w:val="center"/>
        </w:trPr>
        <w:tc>
          <w:tcPr>
            <w:tcW w:w="5860" w:type="dxa"/>
            <w:tcBorders>
              <w:top w:val="nil"/>
              <w:left w:val="nil"/>
              <w:bottom w:val="single" w:sz="4" w:space="0" w:color="auto"/>
              <w:right w:val="nil"/>
            </w:tcBorders>
            <w:shd w:val="clear" w:color="auto" w:fill="auto"/>
            <w:noWrap/>
            <w:vAlign w:val="center"/>
            <w:hideMark/>
          </w:tcPr>
          <w:p w14:paraId="77DE6234" w14:textId="77777777" w:rsidR="00C165F8" w:rsidRPr="001707CF" w:rsidRDefault="00C165F8" w:rsidP="008558ED">
            <w:pPr>
              <w:rPr>
                <w:rFonts w:ascii="Tahoma" w:hAnsi="Tahoma" w:cs="Tahoma"/>
                <w:b/>
                <w:bCs/>
                <w:sz w:val="23"/>
                <w:szCs w:val="23"/>
              </w:rPr>
            </w:pPr>
            <w:proofErr w:type="spellStart"/>
            <w:r w:rsidRPr="001707CF">
              <w:rPr>
                <w:rFonts w:ascii="Tahoma" w:hAnsi="Tahoma" w:cs="Tahoma"/>
                <w:b/>
                <w:bCs/>
                <w:sz w:val="23"/>
                <w:szCs w:val="23"/>
              </w:rPr>
              <w:t>Ukupno</w:t>
            </w:r>
            <w:proofErr w:type="spellEnd"/>
            <w:r w:rsidRPr="001707CF">
              <w:rPr>
                <w:rFonts w:ascii="Tahoma" w:hAnsi="Tahoma" w:cs="Tahoma"/>
                <w:b/>
                <w:bCs/>
                <w:sz w:val="23"/>
                <w:szCs w:val="23"/>
              </w:rPr>
              <w:t xml:space="preserve"> </w:t>
            </w:r>
            <w:proofErr w:type="spellStart"/>
            <w:r w:rsidRPr="001707CF">
              <w:rPr>
                <w:rFonts w:ascii="Tahoma" w:hAnsi="Tahoma" w:cs="Tahoma"/>
                <w:b/>
                <w:bCs/>
                <w:sz w:val="23"/>
                <w:szCs w:val="23"/>
              </w:rPr>
              <w:t>obaveze</w:t>
            </w:r>
            <w:proofErr w:type="spellEnd"/>
            <w:r w:rsidRPr="001707CF">
              <w:rPr>
                <w:rFonts w:ascii="Tahoma" w:hAnsi="Tahoma" w:cs="Tahoma"/>
                <w:b/>
                <w:bCs/>
                <w:sz w:val="23"/>
                <w:szCs w:val="23"/>
              </w:rPr>
              <w:t xml:space="preserve"> Fonda</w:t>
            </w:r>
          </w:p>
        </w:tc>
        <w:tc>
          <w:tcPr>
            <w:tcW w:w="1880" w:type="dxa"/>
            <w:tcBorders>
              <w:top w:val="double" w:sz="4" w:space="0" w:color="auto"/>
              <w:left w:val="nil"/>
              <w:bottom w:val="single" w:sz="4" w:space="0" w:color="auto"/>
              <w:right w:val="nil"/>
            </w:tcBorders>
            <w:shd w:val="clear" w:color="auto" w:fill="auto"/>
            <w:noWrap/>
            <w:vAlign w:val="center"/>
          </w:tcPr>
          <w:p w14:paraId="296A49BF" w14:textId="77777777" w:rsidR="00C165F8" w:rsidRPr="001707CF" w:rsidRDefault="00C165F8" w:rsidP="008558ED">
            <w:pPr>
              <w:jc w:val="right"/>
              <w:rPr>
                <w:rFonts w:ascii="Tahoma" w:hAnsi="Tahoma" w:cs="Tahoma"/>
                <w:b/>
                <w:bCs/>
                <w:sz w:val="23"/>
                <w:szCs w:val="23"/>
              </w:rPr>
            </w:pPr>
            <w:r>
              <w:rPr>
                <w:rFonts w:ascii="Tahoma" w:hAnsi="Tahoma" w:cs="Tahoma"/>
                <w:b/>
                <w:bCs/>
                <w:sz w:val="23"/>
                <w:szCs w:val="23"/>
              </w:rPr>
              <w:t>89.869</w:t>
            </w:r>
          </w:p>
        </w:tc>
        <w:tc>
          <w:tcPr>
            <w:tcW w:w="1880" w:type="dxa"/>
            <w:tcBorders>
              <w:top w:val="double" w:sz="4" w:space="0" w:color="auto"/>
              <w:left w:val="nil"/>
              <w:bottom w:val="single" w:sz="4" w:space="0" w:color="auto"/>
              <w:right w:val="nil"/>
            </w:tcBorders>
            <w:shd w:val="clear" w:color="auto" w:fill="auto"/>
            <w:noWrap/>
            <w:vAlign w:val="center"/>
          </w:tcPr>
          <w:p w14:paraId="6D9BEABE" w14:textId="77777777" w:rsidR="00C165F8" w:rsidRPr="001707CF" w:rsidRDefault="00C165F8" w:rsidP="008558ED">
            <w:pPr>
              <w:jc w:val="right"/>
              <w:rPr>
                <w:rFonts w:ascii="Tahoma" w:hAnsi="Tahoma" w:cs="Tahoma"/>
                <w:b/>
                <w:bCs/>
                <w:sz w:val="23"/>
                <w:szCs w:val="23"/>
              </w:rPr>
            </w:pPr>
            <w:r w:rsidRPr="001707CF">
              <w:rPr>
                <w:rFonts w:ascii="Tahoma" w:hAnsi="Tahoma" w:cs="Tahoma"/>
                <w:b/>
                <w:bCs/>
                <w:sz w:val="23"/>
                <w:szCs w:val="23"/>
              </w:rPr>
              <w:t>90.973</w:t>
            </w:r>
          </w:p>
        </w:tc>
      </w:tr>
    </w:tbl>
    <w:p w14:paraId="5FC26EFD" w14:textId="77777777" w:rsidR="00C165F8" w:rsidRPr="001707CF" w:rsidRDefault="00C165F8" w:rsidP="00C165F8">
      <w:pPr>
        <w:spacing w:after="120"/>
        <w:jc w:val="both"/>
        <w:rPr>
          <w:rFonts w:ascii="Tahoma" w:hAnsi="Tahoma" w:cs="Tahoma"/>
          <w:sz w:val="23"/>
          <w:szCs w:val="23"/>
          <w:lang w:val="sr-Latn-BA"/>
        </w:rPr>
      </w:pPr>
    </w:p>
    <w:p w14:paraId="4128CDC1" w14:textId="77777777" w:rsidR="00C165F8" w:rsidRPr="001707CF" w:rsidRDefault="00C165F8" w:rsidP="00C165F8">
      <w:pPr>
        <w:numPr>
          <w:ilvl w:val="0"/>
          <w:numId w:val="22"/>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KAPITAL FONDA</w:t>
      </w:r>
    </w:p>
    <w:p w14:paraId="556A49E4" w14:textId="77777777" w:rsidR="00C165F8" w:rsidRPr="001707CF" w:rsidRDefault="00C165F8" w:rsidP="00C165F8">
      <w:pPr>
        <w:tabs>
          <w:tab w:val="left" w:pos="8080"/>
        </w:tabs>
        <w:spacing w:after="120"/>
        <w:ind w:right="1"/>
        <w:jc w:val="right"/>
        <w:rPr>
          <w:rFonts w:ascii="Tahoma" w:hAnsi="Tahoma" w:cs="Tahoma"/>
          <w:i/>
          <w:sz w:val="23"/>
          <w:szCs w:val="23"/>
          <w:lang w:val="sr-Latn-BA"/>
        </w:rPr>
      </w:pPr>
      <w:r w:rsidRPr="001707CF">
        <w:rPr>
          <w:rFonts w:ascii="Tahoma" w:hAnsi="Tahoma" w:cs="Tahoma"/>
          <w:i/>
          <w:sz w:val="23"/>
          <w:szCs w:val="23"/>
          <w:lang w:val="sr-Latn-BA"/>
        </w:rPr>
        <w:t>(u KM)</w:t>
      </w:r>
    </w:p>
    <w:tbl>
      <w:tblPr>
        <w:tblW w:w="9147" w:type="dxa"/>
        <w:jc w:val="center"/>
        <w:tblLook w:val="04A0" w:firstRow="1" w:lastRow="0" w:firstColumn="1" w:lastColumn="0" w:noHBand="0" w:noVBand="1"/>
      </w:tblPr>
      <w:tblGrid>
        <w:gridCol w:w="5387"/>
        <w:gridCol w:w="1880"/>
        <w:gridCol w:w="1880"/>
      </w:tblGrid>
      <w:tr w:rsidR="00C165F8" w:rsidRPr="001707CF" w14:paraId="1BA0B3ED" w14:textId="77777777" w:rsidTr="008558ED">
        <w:trPr>
          <w:trHeight w:val="559"/>
          <w:jc w:val="center"/>
        </w:trPr>
        <w:tc>
          <w:tcPr>
            <w:tcW w:w="5387" w:type="dxa"/>
            <w:tcBorders>
              <w:top w:val="single" w:sz="4" w:space="0" w:color="auto"/>
              <w:left w:val="nil"/>
              <w:bottom w:val="single" w:sz="4" w:space="0" w:color="auto"/>
              <w:right w:val="nil"/>
            </w:tcBorders>
            <w:shd w:val="clear" w:color="auto" w:fill="auto"/>
            <w:vAlign w:val="center"/>
            <w:hideMark/>
          </w:tcPr>
          <w:p w14:paraId="69A1956E" w14:textId="77777777" w:rsidR="00C165F8" w:rsidRPr="001707CF" w:rsidRDefault="00C165F8" w:rsidP="008558ED">
            <w:pPr>
              <w:jc w:val="center"/>
              <w:rPr>
                <w:rFonts w:ascii="Tahoma" w:hAnsi="Tahoma" w:cs="Tahoma"/>
                <w:i/>
                <w:iCs/>
                <w:sz w:val="23"/>
                <w:szCs w:val="23"/>
                <w:lang w:val="sr-Latn-BA" w:eastAsia="sr-Latn-BA"/>
              </w:rPr>
            </w:pPr>
            <w:proofErr w:type="spellStart"/>
            <w:r w:rsidRPr="001707CF">
              <w:rPr>
                <w:rFonts w:ascii="Tahoma" w:hAnsi="Tahoma" w:cs="Tahoma"/>
                <w:i/>
                <w:iCs/>
                <w:sz w:val="23"/>
                <w:szCs w:val="23"/>
              </w:rPr>
              <w:t>Opis</w:t>
            </w:r>
            <w:proofErr w:type="spellEnd"/>
          </w:p>
        </w:tc>
        <w:tc>
          <w:tcPr>
            <w:tcW w:w="1880" w:type="dxa"/>
            <w:tcBorders>
              <w:top w:val="single" w:sz="4" w:space="0" w:color="auto"/>
              <w:left w:val="nil"/>
              <w:bottom w:val="single" w:sz="4" w:space="0" w:color="auto"/>
              <w:right w:val="nil"/>
            </w:tcBorders>
            <w:shd w:val="clear" w:color="auto" w:fill="auto"/>
            <w:noWrap/>
            <w:vAlign w:val="center"/>
            <w:hideMark/>
          </w:tcPr>
          <w:p w14:paraId="76EE827C" w14:textId="77777777" w:rsidR="00C165F8" w:rsidRPr="001707CF" w:rsidRDefault="00C165F8" w:rsidP="008558ED">
            <w:pPr>
              <w:jc w:val="center"/>
              <w:rPr>
                <w:rFonts w:ascii="Tahoma" w:hAnsi="Tahoma" w:cs="Tahoma"/>
                <w:i/>
                <w:iCs/>
                <w:sz w:val="23"/>
                <w:szCs w:val="23"/>
              </w:rPr>
            </w:pPr>
            <w:r w:rsidRPr="001707CF">
              <w:rPr>
                <w:rFonts w:ascii="Tahoma" w:hAnsi="Tahoma" w:cs="Tahoma"/>
                <w:i/>
                <w:iCs/>
                <w:sz w:val="23"/>
                <w:szCs w:val="23"/>
              </w:rPr>
              <w:t>31.12.</w:t>
            </w:r>
            <w:r>
              <w:rPr>
                <w:rFonts w:ascii="Tahoma" w:hAnsi="Tahoma" w:cs="Tahoma"/>
                <w:i/>
                <w:iCs/>
                <w:sz w:val="23"/>
                <w:szCs w:val="23"/>
              </w:rPr>
              <w:t>2024</w:t>
            </w:r>
            <w:r w:rsidRPr="001707CF">
              <w:rPr>
                <w:rFonts w:ascii="Tahoma" w:hAnsi="Tahoma" w:cs="Tahoma"/>
                <w:i/>
                <w:iCs/>
                <w:sz w:val="23"/>
                <w:szCs w:val="23"/>
              </w:rPr>
              <w:t>.</w:t>
            </w:r>
          </w:p>
        </w:tc>
        <w:tc>
          <w:tcPr>
            <w:tcW w:w="1880" w:type="dxa"/>
            <w:tcBorders>
              <w:top w:val="single" w:sz="4" w:space="0" w:color="auto"/>
              <w:left w:val="nil"/>
              <w:bottom w:val="single" w:sz="4" w:space="0" w:color="auto"/>
              <w:right w:val="nil"/>
            </w:tcBorders>
            <w:shd w:val="clear" w:color="auto" w:fill="auto"/>
            <w:noWrap/>
            <w:vAlign w:val="center"/>
            <w:hideMark/>
          </w:tcPr>
          <w:p w14:paraId="3710D3F8" w14:textId="77777777" w:rsidR="00C165F8" w:rsidRPr="001707CF" w:rsidRDefault="00C165F8" w:rsidP="008558ED">
            <w:pPr>
              <w:jc w:val="center"/>
              <w:rPr>
                <w:rFonts w:ascii="Tahoma" w:hAnsi="Tahoma" w:cs="Tahoma"/>
                <w:i/>
                <w:iCs/>
                <w:sz w:val="23"/>
                <w:szCs w:val="23"/>
              </w:rPr>
            </w:pPr>
            <w:r w:rsidRPr="001707CF">
              <w:rPr>
                <w:rFonts w:ascii="Tahoma" w:hAnsi="Tahoma" w:cs="Tahoma"/>
                <w:i/>
                <w:iCs/>
                <w:sz w:val="23"/>
                <w:szCs w:val="23"/>
              </w:rPr>
              <w:t>31.12.</w:t>
            </w:r>
            <w:r>
              <w:rPr>
                <w:rFonts w:ascii="Tahoma" w:hAnsi="Tahoma" w:cs="Tahoma"/>
                <w:i/>
                <w:iCs/>
                <w:sz w:val="23"/>
                <w:szCs w:val="23"/>
              </w:rPr>
              <w:t>2023</w:t>
            </w:r>
            <w:r w:rsidRPr="001707CF">
              <w:rPr>
                <w:rFonts w:ascii="Tahoma" w:hAnsi="Tahoma" w:cs="Tahoma"/>
                <w:i/>
                <w:iCs/>
                <w:sz w:val="23"/>
                <w:szCs w:val="23"/>
              </w:rPr>
              <w:t>.</w:t>
            </w:r>
          </w:p>
        </w:tc>
      </w:tr>
      <w:tr w:rsidR="00C165F8" w:rsidRPr="001707CF" w14:paraId="2C0DD8F8" w14:textId="77777777" w:rsidTr="008558ED">
        <w:trPr>
          <w:trHeight w:val="285"/>
          <w:jc w:val="center"/>
        </w:trPr>
        <w:tc>
          <w:tcPr>
            <w:tcW w:w="5387" w:type="dxa"/>
            <w:tcBorders>
              <w:top w:val="nil"/>
              <w:left w:val="nil"/>
              <w:bottom w:val="nil"/>
              <w:right w:val="nil"/>
            </w:tcBorders>
            <w:shd w:val="clear" w:color="auto" w:fill="auto"/>
            <w:noWrap/>
            <w:vAlign w:val="center"/>
            <w:hideMark/>
          </w:tcPr>
          <w:p w14:paraId="7F2354F9" w14:textId="77777777" w:rsidR="00C165F8" w:rsidRPr="001707CF" w:rsidRDefault="00C165F8" w:rsidP="008558ED">
            <w:pPr>
              <w:rPr>
                <w:rFonts w:ascii="Tahoma" w:hAnsi="Tahoma" w:cs="Tahoma"/>
                <w:sz w:val="23"/>
                <w:szCs w:val="23"/>
              </w:rPr>
            </w:pPr>
            <w:proofErr w:type="spellStart"/>
            <w:r w:rsidRPr="001707CF">
              <w:rPr>
                <w:rFonts w:ascii="Tahoma" w:hAnsi="Tahoma" w:cs="Tahoma"/>
                <w:sz w:val="23"/>
                <w:szCs w:val="23"/>
              </w:rPr>
              <w:t>Osnovni</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kapital</w:t>
            </w:r>
            <w:proofErr w:type="spellEnd"/>
            <w:r w:rsidRPr="001707CF">
              <w:rPr>
                <w:rFonts w:ascii="Tahoma" w:hAnsi="Tahoma" w:cs="Tahoma"/>
                <w:sz w:val="23"/>
                <w:szCs w:val="23"/>
              </w:rPr>
              <w:t xml:space="preserve"> - </w:t>
            </w:r>
            <w:proofErr w:type="spellStart"/>
            <w:r w:rsidRPr="001707CF">
              <w:rPr>
                <w:rFonts w:ascii="Tahoma" w:hAnsi="Tahoma" w:cs="Tahoma"/>
                <w:sz w:val="23"/>
                <w:szCs w:val="23"/>
              </w:rPr>
              <w:t>udjeli</w:t>
            </w:r>
            <w:proofErr w:type="spellEnd"/>
            <w:r w:rsidRPr="001707CF">
              <w:rPr>
                <w:rFonts w:ascii="Tahoma" w:hAnsi="Tahoma" w:cs="Tahoma"/>
                <w:sz w:val="23"/>
                <w:szCs w:val="23"/>
              </w:rPr>
              <w:t xml:space="preserve"> OAIF</w:t>
            </w:r>
          </w:p>
        </w:tc>
        <w:tc>
          <w:tcPr>
            <w:tcW w:w="1880" w:type="dxa"/>
            <w:tcBorders>
              <w:top w:val="nil"/>
              <w:left w:val="nil"/>
              <w:bottom w:val="nil"/>
              <w:right w:val="nil"/>
            </w:tcBorders>
            <w:shd w:val="clear" w:color="auto" w:fill="auto"/>
            <w:noWrap/>
            <w:vAlign w:val="bottom"/>
          </w:tcPr>
          <w:p w14:paraId="097FD869" w14:textId="77777777" w:rsidR="00C165F8" w:rsidRPr="001707CF" w:rsidRDefault="00C165F8" w:rsidP="008558ED">
            <w:pPr>
              <w:jc w:val="right"/>
              <w:rPr>
                <w:rFonts w:ascii="Tahoma" w:hAnsi="Tahoma" w:cs="Tahoma"/>
                <w:sz w:val="23"/>
                <w:szCs w:val="23"/>
              </w:rPr>
            </w:pPr>
            <w:r>
              <w:rPr>
                <w:rFonts w:ascii="Tahoma" w:hAnsi="Tahoma" w:cs="Tahoma"/>
                <w:sz w:val="23"/>
                <w:szCs w:val="23"/>
              </w:rPr>
              <w:t>5.459.953</w:t>
            </w:r>
          </w:p>
        </w:tc>
        <w:tc>
          <w:tcPr>
            <w:tcW w:w="1880" w:type="dxa"/>
            <w:tcBorders>
              <w:top w:val="nil"/>
              <w:left w:val="nil"/>
              <w:bottom w:val="nil"/>
              <w:right w:val="nil"/>
            </w:tcBorders>
            <w:shd w:val="clear" w:color="auto" w:fill="auto"/>
            <w:noWrap/>
            <w:vAlign w:val="bottom"/>
          </w:tcPr>
          <w:p w14:paraId="089DE2AE" w14:textId="77777777" w:rsidR="00C165F8" w:rsidRPr="001707CF" w:rsidRDefault="00C165F8" w:rsidP="008558ED">
            <w:pPr>
              <w:jc w:val="right"/>
              <w:rPr>
                <w:rFonts w:ascii="Tahoma" w:hAnsi="Tahoma" w:cs="Tahoma"/>
                <w:sz w:val="23"/>
                <w:szCs w:val="23"/>
              </w:rPr>
            </w:pPr>
            <w:r w:rsidRPr="001707CF">
              <w:rPr>
                <w:rFonts w:ascii="Tahoma" w:hAnsi="Tahoma" w:cs="Tahoma"/>
                <w:sz w:val="23"/>
                <w:szCs w:val="23"/>
              </w:rPr>
              <w:t>5.473.025</w:t>
            </w:r>
          </w:p>
        </w:tc>
      </w:tr>
      <w:tr w:rsidR="00C165F8" w:rsidRPr="001707CF" w14:paraId="7058E760" w14:textId="77777777" w:rsidTr="008558ED">
        <w:trPr>
          <w:trHeight w:val="120"/>
          <w:jc w:val="center"/>
        </w:trPr>
        <w:tc>
          <w:tcPr>
            <w:tcW w:w="5387" w:type="dxa"/>
            <w:tcBorders>
              <w:top w:val="nil"/>
              <w:left w:val="nil"/>
              <w:bottom w:val="nil"/>
              <w:right w:val="nil"/>
            </w:tcBorders>
            <w:shd w:val="clear" w:color="auto" w:fill="auto"/>
            <w:noWrap/>
            <w:vAlign w:val="center"/>
            <w:hideMark/>
          </w:tcPr>
          <w:p w14:paraId="2A497EEE" w14:textId="77777777" w:rsidR="00C165F8" w:rsidRPr="001707CF" w:rsidRDefault="00C165F8" w:rsidP="008558ED">
            <w:pPr>
              <w:rPr>
                <w:rFonts w:ascii="Tahoma" w:hAnsi="Tahoma" w:cs="Tahoma"/>
                <w:sz w:val="23"/>
                <w:szCs w:val="23"/>
              </w:rPr>
            </w:pPr>
          </w:p>
        </w:tc>
        <w:tc>
          <w:tcPr>
            <w:tcW w:w="1880" w:type="dxa"/>
            <w:tcBorders>
              <w:top w:val="nil"/>
              <w:left w:val="nil"/>
              <w:bottom w:val="nil"/>
              <w:right w:val="nil"/>
            </w:tcBorders>
            <w:shd w:val="clear" w:color="auto" w:fill="auto"/>
            <w:noWrap/>
            <w:vAlign w:val="center"/>
          </w:tcPr>
          <w:p w14:paraId="60974C52" w14:textId="77777777" w:rsidR="00C165F8" w:rsidRPr="001707CF" w:rsidRDefault="00C165F8" w:rsidP="008558ED">
            <w:pPr>
              <w:jc w:val="right"/>
              <w:rPr>
                <w:rFonts w:ascii="Tahoma" w:hAnsi="Tahoma" w:cs="Tahoma"/>
                <w:sz w:val="23"/>
                <w:szCs w:val="23"/>
              </w:rPr>
            </w:pPr>
          </w:p>
        </w:tc>
        <w:tc>
          <w:tcPr>
            <w:tcW w:w="1880" w:type="dxa"/>
            <w:tcBorders>
              <w:top w:val="nil"/>
              <w:left w:val="nil"/>
              <w:bottom w:val="nil"/>
              <w:right w:val="nil"/>
            </w:tcBorders>
            <w:shd w:val="clear" w:color="auto" w:fill="auto"/>
            <w:noWrap/>
            <w:vAlign w:val="center"/>
          </w:tcPr>
          <w:p w14:paraId="2757DA28" w14:textId="77777777" w:rsidR="00C165F8" w:rsidRPr="001707CF" w:rsidRDefault="00C165F8" w:rsidP="008558ED">
            <w:pPr>
              <w:jc w:val="right"/>
              <w:rPr>
                <w:rFonts w:ascii="Tahoma" w:hAnsi="Tahoma" w:cs="Tahoma"/>
                <w:sz w:val="23"/>
                <w:szCs w:val="23"/>
              </w:rPr>
            </w:pPr>
          </w:p>
        </w:tc>
      </w:tr>
      <w:tr w:rsidR="00C165F8" w:rsidRPr="001707CF" w14:paraId="666F87D3" w14:textId="77777777" w:rsidTr="008558ED">
        <w:trPr>
          <w:trHeight w:val="120"/>
          <w:jc w:val="center"/>
        </w:trPr>
        <w:tc>
          <w:tcPr>
            <w:tcW w:w="5387" w:type="dxa"/>
            <w:tcBorders>
              <w:top w:val="nil"/>
              <w:left w:val="nil"/>
              <w:bottom w:val="nil"/>
              <w:right w:val="nil"/>
            </w:tcBorders>
            <w:shd w:val="clear" w:color="auto" w:fill="auto"/>
            <w:noWrap/>
            <w:vAlign w:val="center"/>
          </w:tcPr>
          <w:p w14:paraId="1DB14C95" w14:textId="77777777" w:rsidR="00C165F8" w:rsidRPr="001707CF" w:rsidRDefault="00C165F8" w:rsidP="008558ED">
            <w:pPr>
              <w:rPr>
                <w:rFonts w:ascii="Tahoma" w:hAnsi="Tahoma" w:cs="Tahoma"/>
                <w:i/>
                <w:iCs/>
                <w:sz w:val="23"/>
                <w:szCs w:val="23"/>
              </w:rPr>
            </w:pPr>
            <w:proofErr w:type="spellStart"/>
            <w:r w:rsidRPr="001707CF">
              <w:rPr>
                <w:rFonts w:ascii="Tahoma" w:hAnsi="Tahoma" w:cs="Tahoma"/>
                <w:i/>
                <w:iCs/>
                <w:sz w:val="23"/>
                <w:szCs w:val="23"/>
              </w:rPr>
              <w:t>Revalorizacione</w:t>
            </w:r>
            <w:proofErr w:type="spellEnd"/>
            <w:r w:rsidRPr="001707CF">
              <w:rPr>
                <w:rFonts w:ascii="Tahoma" w:hAnsi="Tahoma" w:cs="Tahoma"/>
                <w:i/>
                <w:iCs/>
                <w:sz w:val="23"/>
                <w:szCs w:val="23"/>
              </w:rPr>
              <w:t xml:space="preserve"> </w:t>
            </w:r>
            <w:proofErr w:type="spellStart"/>
            <w:r w:rsidRPr="001707CF">
              <w:rPr>
                <w:rFonts w:ascii="Tahoma" w:hAnsi="Tahoma" w:cs="Tahoma"/>
                <w:i/>
                <w:iCs/>
                <w:sz w:val="23"/>
                <w:szCs w:val="23"/>
              </w:rPr>
              <w:t>rezerve</w:t>
            </w:r>
            <w:proofErr w:type="spellEnd"/>
            <w:r w:rsidRPr="001707CF">
              <w:rPr>
                <w:rFonts w:ascii="Tahoma" w:hAnsi="Tahoma" w:cs="Tahoma"/>
                <w:i/>
                <w:iCs/>
                <w:sz w:val="23"/>
                <w:szCs w:val="23"/>
              </w:rPr>
              <w:t xml:space="preserve"> po </w:t>
            </w:r>
            <w:proofErr w:type="spellStart"/>
            <w:r w:rsidRPr="001707CF">
              <w:rPr>
                <w:rFonts w:ascii="Tahoma" w:hAnsi="Tahoma" w:cs="Tahoma"/>
                <w:i/>
                <w:iCs/>
                <w:sz w:val="23"/>
                <w:szCs w:val="23"/>
              </w:rPr>
              <w:t>osnovu</w:t>
            </w:r>
            <w:proofErr w:type="spellEnd"/>
            <w:r w:rsidRPr="001707CF">
              <w:rPr>
                <w:rFonts w:ascii="Tahoma" w:hAnsi="Tahoma" w:cs="Tahoma"/>
                <w:i/>
                <w:iCs/>
                <w:sz w:val="23"/>
                <w:szCs w:val="23"/>
              </w:rPr>
              <w:t xml:space="preserve"> </w:t>
            </w:r>
            <w:proofErr w:type="spellStart"/>
            <w:r w:rsidRPr="001707CF">
              <w:rPr>
                <w:rFonts w:ascii="Tahoma" w:hAnsi="Tahoma" w:cs="Tahoma"/>
                <w:i/>
                <w:iCs/>
                <w:sz w:val="23"/>
                <w:szCs w:val="23"/>
              </w:rPr>
              <w:t>revalorizacije</w:t>
            </w:r>
            <w:proofErr w:type="spellEnd"/>
            <w:r w:rsidRPr="001707CF">
              <w:rPr>
                <w:rFonts w:ascii="Tahoma" w:hAnsi="Tahoma" w:cs="Tahoma"/>
                <w:i/>
                <w:iCs/>
                <w:sz w:val="23"/>
                <w:szCs w:val="23"/>
              </w:rPr>
              <w:t xml:space="preserve"> </w:t>
            </w:r>
            <w:proofErr w:type="spellStart"/>
            <w:r w:rsidRPr="001707CF">
              <w:rPr>
                <w:rFonts w:ascii="Tahoma" w:hAnsi="Tahoma" w:cs="Tahoma"/>
                <w:i/>
                <w:iCs/>
                <w:sz w:val="23"/>
                <w:szCs w:val="23"/>
              </w:rPr>
              <w:t>finansijskih</w:t>
            </w:r>
            <w:proofErr w:type="spellEnd"/>
            <w:r w:rsidRPr="001707CF">
              <w:rPr>
                <w:rFonts w:ascii="Tahoma" w:hAnsi="Tahoma" w:cs="Tahoma"/>
                <w:i/>
                <w:iCs/>
                <w:sz w:val="23"/>
                <w:szCs w:val="23"/>
              </w:rPr>
              <w:t xml:space="preserve"> </w:t>
            </w:r>
            <w:proofErr w:type="spellStart"/>
            <w:r w:rsidRPr="001707CF">
              <w:rPr>
                <w:rFonts w:ascii="Tahoma" w:hAnsi="Tahoma" w:cs="Tahoma"/>
                <w:i/>
                <w:iCs/>
                <w:sz w:val="23"/>
                <w:szCs w:val="23"/>
              </w:rPr>
              <w:t>sredstava</w:t>
            </w:r>
            <w:proofErr w:type="spellEnd"/>
            <w:r w:rsidRPr="001707CF">
              <w:rPr>
                <w:rFonts w:ascii="Tahoma" w:hAnsi="Tahoma" w:cs="Tahoma"/>
                <w:i/>
                <w:iCs/>
                <w:sz w:val="23"/>
                <w:szCs w:val="23"/>
              </w:rPr>
              <w:t xml:space="preserve"> </w:t>
            </w:r>
            <w:proofErr w:type="spellStart"/>
            <w:r w:rsidRPr="001707CF">
              <w:rPr>
                <w:rFonts w:ascii="Tahoma" w:hAnsi="Tahoma" w:cs="Tahoma"/>
                <w:i/>
                <w:iCs/>
                <w:sz w:val="23"/>
                <w:szCs w:val="23"/>
              </w:rPr>
              <w:t>klasifikovanih</w:t>
            </w:r>
            <w:proofErr w:type="spellEnd"/>
            <w:r w:rsidRPr="001707CF">
              <w:rPr>
                <w:rFonts w:ascii="Tahoma" w:hAnsi="Tahoma" w:cs="Tahoma"/>
                <w:i/>
                <w:iCs/>
                <w:sz w:val="23"/>
                <w:szCs w:val="23"/>
              </w:rPr>
              <w:t xml:space="preserve"> po </w:t>
            </w:r>
            <w:proofErr w:type="spellStart"/>
            <w:r w:rsidRPr="001707CF">
              <w:rPr>
                <w:rFonts w:ascii="Tahoma" w:hAnsi="Tahoma" w:cs="Tahoma"/>
                <w:i/>
                <w:iCs/>
                <w:sz w:val="23"/>
                <w:szCs w:val="23"/>
              </w:rPr>
              <w:t>fer</w:t>
            </w:r>
            <w:proofErr w:type="spellEnd"/>
            <w:r w:rsidRPr="001707CF">
              <w:rPr>
                <w:rFonts w:ascii="Tahoma" w:hAnsi="Tahoma" w:cs="Tahoma"/>
                <w:i/>
                <w:iCs/>
                <w:sz w:val="23"/>
                <w:szCs w:val="23"/>
              </w:rPr>
              <w:t xml:space="preserve"> </w:t>
            </w:r>
            <w:proofErr w:type="spellStart"/>
            <w:r w:rsidRPr="001707CF">
              <w:rPr>
                <w:rFonts w:ascii="Tahoma" w:hAnsi="Tahoma" w:cs="Tahoma"/>
                <w:i/>
                <w:iCs/>
                <w:sz w:val="23"/>
                <w:szCs w:val="23"/>
              </w:rPr>
              <w:t>vrijednosti</w:t>
            </w:r>
            <w:proofErr w:type="spellEnd"/>
            <w:r w:rsidRPr="001707CF">
              <w:rPr>
                <w:rFonts w:ascii="Tahoma" w:hAnsi="Tahoma" w:cs="Tahoma"/>
                <w:i/>
                <w:iCs/>
                <w:sz w:val="23"/>
                <w:szCs w:val="23"/>
              </w:rPr>
              <w:t xml:space="preserve"> </w:t>
            </w:r>
            <w:proofErr w:type="spellStart"/>
            <w:r w:rsidRPr="001707CF">
              <w:rPr>
                <w:rFonts w:ascii="Tahoma" w:hAnsi="Tahoma" w:cs="Tahoma"/>
                <w:i/>
                <w:iCs/>
                <w:sz w:val="23"/>
                <w:szCs w:val="23"/>
              </w:rPr>
              <w:t>kroz</w:t>
            </w:r>
            <w:proofErr w:type="spellEnd"/>
            <w:r w:rsidRPr="001707CF">
              <w:rPr>
                <w:rFonts w:ascii="Tahoma" w:hAnsi="Tahoma" w:cs="Tahoma"/>
                <w:i/>
                <w:iCs/>
                <w:sz w:val="23"/>
                <w:szCs w:val="23"/>
              </w:rPr>
              <w:t xml:space="preserve"> </w:t>
            </w:r>
            <w:proofErr w:type="spellStart"/>
            <w:r w:rsidRPr="001707CF">
              <w:rPr>
                <w:rFonts w:ascii="Tahoma" w:hAnsi="Tahoma" w:cs="Tahoma"/>
                <w:i/>
                <w:iCs/>
                <w:sz w:val="23"/>
                <w:szCs w:val="23"/>
              </w:rPr>
              <w:t>ostali</w:t>
            </w:r>
            <w:proofErr w:type="spellEnd"/>
            <w:r w:rsidRPr="001707CF">
              <w:rPr>
                <w:rFonts w:ascii="Tahoma" w:hAnsi="Tahoma" w:cs="Tahoma"/>
                <w:i/>
                <w:iCs/>
                <w:sz w:val="23"/>
                <w:szCs w:val="23"/>
              </w:rPr>
              <w:t xml:space="preserve"> </w:t>
            </w:r>
            <w:proofErr w:type="spellStart"/>
            <w:r w:rsidRPr="001707CF">
              <w:rPr>
                <w:rFonts w:ascii="Tahoma" w:hAnsi="Tahoma" w:cs="Tahoma"/>
                <w:i/>
                <w:iCs/>
                <w:sz w:val="23"/>
                <w:szCs w:val="23"/>
              </w:rPr>
              <w:t>sveobuhvatni</w:t>
            </w:r>
            <w:proofErr w:type="spellEnd"/>
            <w:r w:rsidRPr="001707CF">
              <w:rPr>
                <w:rFonts w:ascii="Tahoma" w:hAnsi="Tahoma" w:cs="Tahoma"/>
                <w:i/>
                <w:iCs/>
                <w:sz w:val="23"/>
                <w:szCs w:val="23"/>
              </w:rPr>
              <w:t xml:space="preserve"> </w:t>
            </w:r>
            <w:proofErr w:type="spellStart"/>
            <w:r w:rsidRPr="001707CF">
              <w:rPr>
                <w:rFonts w:ascii="Tahoma" w:hAnsi="Tahoma" w:cs="Tahoma"/>
                <w:i/>
                <w:iCs/>
                <w:sz w:val="23"/>
                <w:szCs w:val="23"/>
              </w:rPr>
              <w:t>rezultat</w:t>
            </w:r>
            <w:proofErr w:type="spellEnd"/>
          </w:p>
        </w:tc>
        <w:tc>
          <w:tcPr>
            <w:tcW w:w="1880" w:type="dxa"/>
            <w:tcBorders>
              <w:top w:val="nil"/>
              <w:left w:val="nil"/>
              <w:bottom w:val="nil"/>
              <w:right w:val="nil"/>
            </w:tcBorders>
            <w:shd w:val="clear" w:color="auto" w:fill="auto"/>
            <w:noWrap/>
            <w:vAlign w:val="bottom"/>
          </w:tcPr>
          <w:p w14:paraId="35D3A99A" w14:textId="77777777" w:rsidR="00C165F8" w:rsidRPr="001707CF" w:rsidRDefault="00C165F8" w:rsidP="008558ED">
            <w:pPr>
              <w:jc w:val="right"/>
              <w:rPr>
                <w:rFonts w:ascii="Tahoma" w:hAnsi="Tahoma" w:cs="Tahoma"/>
                <w:sz w:val="23"/>
                <w:szCs w:val="23"/>
              </w:rPr>
            </w:pPr>
            <w:r>
              <w:rPr>
                <w:rFonts w:ascii="Tahoma" w:hAnsi="Tahoma" w:cs="Tahoma"/>
                <w:sz w:val="23"/>
                <w:szCs w:val="23"/>
              </w:rPr>
              <w:t>1.161.822</w:t>
            </w:r>
          </w:p>
        </w:tc>
        <w:tc>
          <w:tcPr>
            <w:tcW w:w="1880" w:type="dxa"/>
            <w:tcBorders>
              <w:top w:val="nil"/>
              <w:left w:val="nil"/>
              <w:bottom w:val="nil"/>
              <w:right w:val="nil"/>
            </w:tcBorders>
            <w:shd w:val="clear" w:color="auto" w:fill="auto"/>
            <w:noWrap/>
            <w:vAlign w:val="bottom"/>
          </w:tcPr>
          <w:p w14:paraId="141E38A3" w14:textId="77777777" w:rsidR="00C165F8" w:rsidRPr="001707CF" w:rsidRDefault="00C165F8" w:rsidP="008558ED">
            <w:pPr>
              <w:jc w:val="right"/>
              <w:rPr>
                <w:rFonts w:ascii="Tahoma" w:hAnsi="Tahoma" w:cs="Tahoma"/>
                <w:sz w:val="23"/>
                <w:szCs w:val="23"/>
              </w:rPr>
            </w:pPr>
            <w:r w:rsidRPr="001707CF">
              <w:rPr>
                <w:rFonts w:ascii="Tahoma" w:hAnsi="Tahoma" w:cs="Tahoma"/>
                <w:sz w:val="23"/>
                <w:szCs w:val="23"/>
              </w:rPr>
              <w:t>1.361.460</w:t>
            </w:r>
          </w:p>
        </w:tc>
      </w:tr>
      <w:tr w:rsidR="00C165F8" w:rsidRPr="001707CF" w14:paraId="5C6EFEBD" w14:textId="77777777" w:rsidTr="008558ED">
        <w:trPr>
          <w:trHeight w:val="120"/>
          <w:jc w:val="center"/>
        </w:trPr>
        <w:tc>
          <w:tcPr>
            <w:tcW w:w="5387" w:type="dxa"/>
            <w:tcBorders>
              <w:top w:val="nil"/>
              <w:left w:val="nil"/>
              <w:bottom w:val="nil"/>
              <w:right w:val="nil"/>
            </w:tcBorders>
            <w:shd w:val="clear" w:color="auto" w:fill="auto"/>
            <w:noWrap/>
            <w:vAlign w:val="center"/>
          </w:tcPr>
          <w:p w14:paraId="5FBA95D9" w14:textId="77777777" w:rsidR="00C165F8" w:rsidRPr="001707CF" w:rsidRDefault="00C165F8" w:rsidP="008558ED">
            <w:pPr>
              <w:rPr>
                <w:rFonts w:ascii="Tahoma" w:hAnsi="Tahoma" w:cs="Tahoma"/>
                <w:sz w:val="23"/>
                <w:szCs w:val="23"/>
              </w:rPr>
            </w:pPr>
          </w:p>
        </w:tc>
        <w:tc>
          <w:tcPr>
            <w:tcW w:w="1880" w:type="dxa"/>
            <w:tcBorders>
              <w:top w:val="nil"/>
              <w:left w:val="nil"/>
              <w:bottom w:val="nil"/>
              <w:right w:val="nil"/>
            </w:tcBorders>
            <w:shd w:val="clear" w:color="auto" w:fill="auto"/>
            <w:noWrap/>
            <w:vAlign w:val="center"/>
          </w:tcPr>
          <w:p w14:paraId="14138AC3" w14:textId="77777777" w:rsidR="00C165F8" w:rsidRPr="001707CF" w:rsidRDefault="00C165F8" w:rsidP="008558ED">
            <w:pPr>
              <w:jc w:val="right"/>
              <w:rPr>
                <w:rFonts w:ascii="Tahoma" w:hAnsi="Tahoma" w:cs="Tahoma"/>
                <w:sz w:val="23"/>
                <w:szCs w:val="23"/>
              </w:rPr>
            </w:pPr>
          </w:p>
        </w:tc>
        <w:tc>
          <w:tcPr>
            <w:tcW w:w="1880" w:type="dxa"/>
            <w:tcBorders>
              <w:top w:val="nil"/>
              <w:left w:val="nil"/>
              <w:bottom w:val="nil"/>
              <w:right w:val="nil"/>
            </w:tcBorders>
            <w:shd w:val="clear" w:color="auto" w:fill="auto"/>
            <w:noWrap/>
            <w:vAlign w:val="center"/>
          </w:tcPr>
          <w:p w14:paraId="4CBF2804" w14:textId="77777777" w:rsidR="00C165F8" w:rsidRPr="001707CF" w:rsidRDefault="00C165F8" w:rsidP="008558ED">
            <w:pPr>
              <w:jc w:val="right"/>
              <w:rPr>
                <w:rFonts w:ascii="Tahoma" w:hAnsi="Tahoma" w:cs="Tahoma"/>
                <w:sz w:val="23"/>
                <w:szCs w:val="23"/>
              </w:rPr>
            </w:pPr>
          </w:p>
        </w:tc>
      </w:tr>
      <w:tr w:rsidR="00C165F8" w:rsidRPr="001707CF" w14:paraId="05D156E8" w14:textId="77777777" w:rsidTr="008558ED">
        <w:trPr>
          <w:trHeight w:val="285"/>
          <w:jc w:val="center"/>
        </w:trPr>
        <w:tc>
          <w:tcPr>
            <w:tcW w:w="5387" w:type="dxa"/>
            <w:tcBorders>
              <w:top w:val="nil"/>
              <w:left w:val="nil"/>
              <w:bottom w:val="nil"/>
              <w:right w:val="nil"/>
            </w:tcBorders>
            <w:shd w:val="clear" w:color="auto" w:fill="auto"/>
            <w:noWrap/>
            <w:vAlign w:val="center"/>
            <w:hideMark/>
          </w:tcPr>
          <w:p w14:paraId="292F77F8" w14:textId="77777777" w:rsidR="00C165F8" w:rsidRPr="001707CF" w:rsidRDefault="00C165F8" w:rsidP="008558ED">
            <w:pPr>
              <w:ind w:firstLineChars="100" w:firstLine="230"/>
              <w:rPr>
                <w:rFonts w:ascii="Tahoma" w:hAnsi="Tahoma" w:cs="Tahoma"/>
                <w:i/>
                <w:iCs/>
                <w:sz w:val="23"/>
                <w:szCs w:val="23"/>
              </w:rPr>
            </w:pPr>
            <w:proofErr w:type="spellStart"/>
            <w:r w:rsidRPr="001707CF">
              <w:rPr>
                <w:rFonts w:ascii="Tahoma" w:hAnsi="Tahoma" w:cs="Tahoma"/>
                <w:i/>
                <w:iCs/>
                <w:sz w:val="23"/>
                <w:szCs w:val="23"/>
              </w:rPr>
              <w:t>Neraspoređeni</w:t>
            </w:r>
            <w:proofErr w:type="spellEnd"/>
            <w:r w:rsidRPr="001707CF">
              <w:rPr>
                <w:rFonts w:ascii="Tahoma" w:hAnsi="Tahoma" w:cs="Tahoma"/>
                <w:i/>
                <w:iCs/>
                <w:sz w:val="23"/>
                <w:szCs w:val="23"/>
              </w:rPr>
              <w:t xml:space="preserve"> </w:t>
            </w:r>
            <w:proofErr w:type="spellStart"/>
            <w:r w:rsidRPr="001707CF">
              <w:rPr>
                <w:rFonts w:ascii="Tahoma" w:hAnsi="Tahoma" w:cs="Tahoma"/>
                <w:i/>
                <w:iCs/>
                <w:sz w:val="23"/>
                <w:szCs w:val="23"/>
              </w:rPr>
              <w:t>dobitak</w:t>
            </w:r>
            <w:proofErr w:type="spellEnd"/>
            <w:r w:rsidRPr="001707CF">
              <w:rPr>
                <w:rFonts w:ascii="Tahoma" w:hAnsi="Tahoma" w:cs="Tahoma"/>
                <w:i/>
                <w:iCs/>
                <w:sz w:val="23"/>
                <w:szCs w:val="23"/>
              </w:rPr>
              <w:t xml:space="preserve"> </w:t>
            </w:r>
            <w:proofErr w:type="spellStart"/>
            <w:r w:rsidRPr="001707CF">
              <w:rPr>
                <w:rFonts w:ascii="Tahoma" w:hAnsi="Tahoma" w:cs="Tahoma"/>
                <w:i/>
                <w:iCs/>
                <w:sz w:val="23"/>
                <w:szCs w:val="23"/>
              </w:rPr>
              <w:t>ranijih</w:t>
            </w:r>
            <w:proofErr w:type="spellEnd"/>
            <w:r w:rsidRPr="001707CF">
              <w:rPr>
                <w:rFonts w:ascii="Tahoma" w:hAnsi="Tahoma" w:cs="Tahoma"/>
                <w:i/>
                <w:iCs/>
                <w:sz w:val="23"/>
                <w:szCs w:val="23"/>
              </w:rPr>
              <w:t xml:space="preserve"> </w:t>
            </w:r>
            <w:proofErr w:type="spellStart"/>
            <w:r w:rsidRPr="001707CF">
              <w:rPr>
                <w:rFonts w:ascii="Tahoma" w:hAnsi="Tahoma" w:cs="Tahoma"/>
                <w:i/>
                <w:iCs/>
                <w:sz w:val="23"/>
                <w:szCs w:val="23"/>
              </w:rPr>
              <w:t>godina</w:t>
            </w:r>
            <w:proofErr w:type="spellEnd"/>
          </w:p>
        </w:tc>
        <w:tc>
          <w:tcPr>
            <w:tcW w:w="1880" w:type="dxa"/>
            <w:tcBorders>
              <w:top w:val="nil"/>
              <w:left w:val="nil"/>
              <w:bottom w:val="nil"/>
              <w:right w:val="nil"/>
            </w:tcBorders>
            <w:shd w:val="clear" w:color="auto" w:fill="auto"/>
            <w:noWrap/>
            <w:vAlign w:val="center"/>
          </w:tcPr>
          <w:p w14:paraId="1D1A40BC" w14:textId="77777777" w:rsidR="00C165F8" w:rsidRPr="001707CF" w:rsidRDefault="00C165F8" w:rsidP="008558ED">
            <w:pPr>
              <w:jc w:val="right"/>
              <w:rPr>
                <w:rFonts w:ascii="Tahoma" w:hAnsi="Tahoma" w:cs="Tahoma"/>
                <w:sz w:val="23"/>
                <w:szCs w:val="23"/>
              </w:rPr>
            </w:pPr>
            <w:r>
              <w:rPr>
                <w:rFonts w:ascii="Tahoma" w:hAnsi="Tahoma" w:cs="Tahoma"/>
                <w:sz w:val="23"/>
                <w:szCs w:val="23"/>
              </w:rPr>
              <w:t>62.228</w:t>
            </w:r>
          </w:p>
        </w:tc>
        <w:tc>
          <w:tcPr>
            <w:tcW w:w="1880" w:type="dxa"/>
            <w:tcBorders>
              <w:top w:val="nil"/>
              <w:left w:val="nil"/>
              <w:bottom w:val="nil"/>
              <w:right w:val="nil"/>
            </w:tcBorders>
            <w:shd w:val="clear" w:color="auto" w:fill="auto"/>
            <w:noWrap/>
            <w:vAlign w:val="center"/>
          </w:tcPr>
          <w:p w14:paraId="13322565" w14:textId="77777777" w:rsidR="00C165F8" w:rsidRPr="001707CF" w:rsidRDefault="00C165F8" w:rsidP="008558ED">
            <w:pPr>
              <w:jc w:val="right"/>
              <w:rPr>
                <w:rFonts w:ascii="Tahoma" w:hAnsi="Tahoma" w:cs="Tahoma"/>
                <w:sz w:val="23"/>
                <w:szCs w:val="23"/>
              </w:rPr>
            </w:pPr>
            <w:r w:rsidRPr="001707CF">
              <w:rPr>
                <w:rFonts w:ascii="Tahoma" w:hAnsi="Tahoma" w:cs="Tahoma"/>
                <w:sz w:val="23"/>
                <w:szCs w:val="23"/>
              </w:rPr>
              <w:t>112.022</w:t>
            </w:r>
          </w:p>
        </w:tc>
      </w:tr>
      <w:tr w:rsidR="00C165F8" w:rsidRPr="001707CF" w14:paraId="06A2614C" w14:textId="77777777" w:rsidTr="008558ED">
        <w:trPr>
          <w:trHeight w:val="285"/>
          <w:jc w:val="center"/>
        </w:trPr>
        <w:tc>
          <w:tcPr>
            <w:tcW w:w="5387" w:type="dxa"/>
            <w:tcBorders>
              <w:top w:val="nil"/>
              <w:left w:val="nil"/>
              <w:bottom w:val="nil"/>
              <w:right w:val="nil"/>
            </w:tcBorders>
            <w:shd w:val="clear" w:color="auto" w:fill="auto"/>
            <w:noWrap/>
            <w:vAlign w:val="center"/>
            <w:hideMark/>
          </w:tcPr>
          <w:p w14:paraId="4AFFB322" w14:textId="77777777" w:rsidR="00C165F8" w:rsidRPr="001707CF" w:rsidRDefault="00C165F8" w:rsidP="008558ED">
            <w:pPr>
              <w:ind w:firstLineChars="100" w:firstLine="230"/>
              <w:rPr>
                <w:rFonts w:ascii="Tahoma" w:hAnsi="Tahoma" w:cs="Tahoma"/>
                <w:i/>
                <w:iCs/>
                <w:sz w:val="23"/>
                <w:szCs w:val="23"/>
              </w:rPr>
            </w:pPr>
            <w:proofErr w:type="spellStart"/>
            <w:r w:rsidRPr="001707CF">
              <w:rPr>
                <w:rFonts w:ascii="Tahoma" w:hAnsi="Tahoma" w:cs="Tahoma"/>
                <w:i/>
                <w:iCs/>
                <w:sz w:val="23"/>
                <w:szCs w:val="23"/>
              </w:rPr>
              <w:t>Neraspoređeni</w:t>
            </w:r>
            <w:proofErr w:type="spellEnd"/>
            <w:r w:rsidRPr="001707CF">
              <w:rPr>
                <w:rFonts w:ascii="Tahoma" w:hAnsi="Tahoma" w:cs="Tahoma"/>
                <w:i/>
                <w:iCs/>
                <w:sz w:val="23"/>
                <w:szCs w:val="23"/>
              </w:rPr>
              <w:t xml:space="preserve"> </w:t>
            </w:r>
            <w:proofErr w:type="spellStart"/>
            <w:r w:rsidRPr="001707CF">
              <w:rPr>
                <w:rFonts w:ascii="Tahoma" w:hAnsi="Tahoma" w:cs="Tahoma"/>
                <w:i/>
                <w:iCs/>
                <w:sz w:val="23"/>
                <w:szCs w:val="23"/>
              </w:rPr>
              <w:t>dobitak</w:t>
            </w:r>
            <w:proofErr w:type="spellEnd"/>
            <w:r>
              <w:rPr>
                <w:rFonts w:ascii="Tahoma" w:hAnsi="Tahoma" w:cs="Tahoma"/>
                <w:i/>
                <w:iCs/>
                <w:sz w:val="23"/>
                <w:szCs w:val="23"/>
              </w:rPr>
              <w:t>/(</w:t>
            </w:r>
            <w:proofErr w:type="spellStart"/>
            <w:r>
              <w:rPr>
                <w:rFonts w:ascii="Tahoma" w:hAnsi="Tahoma" w:cs="Tahoma"/>
                <w:i/>
                <w:iCs/>
                <w:sz w:val="23"/>
                <w:szCs w:val="23"/>
              </w:rPr>
              <w:t>gubitak</w:t>
            </w:r>
            <w:proofErr w:type="spellEnd"/>
            <w:r>
              <w:rPr>
                <w:rFonts w:ascii="Tahoma" w:hAnsi="Tahoma" w:cs="Tahoma"/>
                <w:i/>
                <w:iCs/>
                <w:sz w:val="23"/>
                <w:szCs w:val="23"/>
              </w:rPr>
              <w:t>)</w:t>
            </w:r>
            <w:r w:rsidRPr="001707CF">
              <w:rPr>
                <w:rFonts w:ascii="Tahoma" w:hAnsi="Tahoma" w:cs="Tahoma"/>
                <w:i/>
                <w:iCs/>
                <w:sz w:val="23"/>
                <w:szCs w:val="23"/>
              </w:rPr>
              <w:t xml:space="preserve"> </w:t>
            </w:r>
            <w:proofErr w:type="spellStart"/>
            <w:r w:rsidRPr="001707CF">
              <w:rPr>
                <w:rFonts w:ascii="Tahoma" w:hAnsi="Tahoma" w:cs="Tahoma"/>
                <w:i/>
                <w:iCs/>
                <w:sz w:val="23"/>
                <w:szCs w:val="23"/>
              </w:rPr>
              <w:t>tekuće</w:t>
            </w:r>
            <w:proofErr w:type="spellEnd"/>
            <w:r w:rsidRPr="001707CF">
              <w:rPr>
                <w:rFonts w:ascii="Tahoma" w:hAnsi="Tahoma" w:cs="Tahoma"/>
                <w:i/>
                <w:iCs/>
                <w:sz w:val="23"/>
                <w:szCs w:val="23"/>
              </w:rPr>
              <w:t xml:space="preserve"> </w:t>
            </w:r>
            <w:proofErr w:type="spellStart"/>
            <w:r w:rsidRPr="001707CF">
              <w:rPr>
                <w:rFonts w:ascii="Tahoma" w:hAnsi="Tahoma" w:cs="Tahoma"/>
                <w:i/>
                <w:iCs/>
                <w:sz w:val="23"/>
                <w:szCs w:val="23"/>
              </w:rPr>
              <w:t>godine</w:t>
            </w:r>
            <w:proofErr w:type="spellEnd"/>
          </w:p>
        </w:tc>
        <w:tc>
          <w:tcPr>
            <w:tcW w:w="1880" w:type="dxa"/>
            <w:tcBorders>
              <w:top w:val="nil"/>
              <w:left w:val="nil"/>
              <w:bottom w:val="single" w:sz="4" w:space="0" w:color="auto"/>
              <w:right w:val="nil"/>
            </w:tcBorders>
            <w:shd w:val="clear" w:color="auto" w:fill="auto"/>
            <w:noWrap/>
            <w:vAlign w:val="center"/>
          </w:tcPr>
          <w:p w14:paraId="4E8809AD" w14:textId="77777777" w:rsidR="00C165F8" w:rsidRPr="001707CF" w:rsidRDefault="00C165F8" w:rsidP="008558ED">
            <w:pPr>
              <w:jc w:val="right"/>
              <w:rPr>
                <w:rFonts w:ascii="Tahoma" w:hAnsi="Tahoma" w:cs="Tahoma"/>
                <w:sz w:val="23"/>
                <w:szCs w:val="23"/>
              </w:rPr>
            </w:pPr>
            <w:r>
              <w:rPr>
                <w:rFonts w:ascii="Tahoma" w:hAnsi="Tahoma" w:cs="Tahoma"/>
                <w:sz w:val="23"/>
                <w:szCs w:val="23"/>
              </w:rPr>
              <w:t>(162.675)</w:t>
            </w:r>
          </w:p>
        </w:tc>
        <w:tc>
          <w:tcPr>
            <w:tcW w:w="1880" w:type="dxa"/>
            <w:tcBorders>
              <w:top w:val="nil"/>
              <w:left w:val="nil"/>
              <w:bottom w:val="single" w:sz="4" w:space="0" w:color="auto"/>
              <w:right w:val="nil"/>
            </w:tcBorders>
            <w:shd w:val="clear" w:color="auto" w:fill="auto"/>
            <w:noWrap/>
            <w:vAlign w:val="center"/>
          </w:tcPr>
          <w:p w14:paraId="53E80205" w14:textId="77777777" w:rsidR="00C165F8" w:rsidRPr="001707CF" w:rsidRDefault="00C165F8" w:rsidP="008558ED">
            <w:pPr>
              <w:jc w:val="right"/>
              <w:rPr>
                <w:rFonts w:ascii="Tahoma" w:hAnsi="Tahoma" w:cs="Tahoma"/>
                <w:sz w:val="23"/>
                <w:szCs w:val="23"/>
              </w:rPr>
            </w:pPr>
            <w:r w:rsidRPr="001707CF">
              <w:rPr>
                <w:rFonts w:ascii="Tahoma" w:hAnsi="Tahoma" w:cs="Tahoma"/>
                <w:sz w:val="23"/>
                <w:szCs w:val="23"/>
              </w:rPr>
              <w:t>(5.250)</w:t>
            </w:r>
          </w:p>
        </w:tc>
      </w:tr>
      <w:tr w:rsidR="00C165F8" w:rsidRPr="001707CF" w14:paraId="19DC502A" w14:textId="77777777" w:rsidTr="008558ED">
        <w:trPr>
          <w:trHeight w:val="285"/>
          <w:jc w:val="center"/>
        </w:trPr>
        <w:tc>
          <w:tcPr>
            <w:tcW w:w="5387" w:type="dxa"/>
            <w:tcBorders>
              <w:top w:val="nil"/>
              <w:left w:val="nil"/>
              <w:bottom w:val="nil"/>
              <w:right w:val="nil"/>
            </w:tcBorders>
            <w:shd w:val="clear" w:color="auto" w:fill="auto"/>
            <w:noWrap/>
            <w:vAlign w:val="center"/>
            <w:hideMark/>
          </w:tcPr>
          <w:p w14:paraId="1E7B4E2B" w14:textId="77777777" w:rsidR="00C165F8" w:rsidRPr="001707CF" w:rsidRDefault="00C165F8" w:rsidP="008558ED">
            <w:pPr>
              <w:rPr>
                <w:rFonts w:ascii="Tahoma" w:hAnsi="Tahoma" w:cs="Tahoma"/>
                <w:sz w:val="23"/>
                <w:szCs w:val="23"/>
              </w:rPr>
            </w:pPr>
            <w:proofErr w:type="spellStart"/>
            <w:r w:rsidRPr="001707CF">
              <w:rPr>
                <w:rFonts w:ascii="Tahoma" w:hAnsi="Tahoma" w:cs="Tahoma"/>
                <w:sz w:val="23"/>
                <w:szCs w:val="23"/>
              </w:rPr>
              <w:t>Ukupno</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neraspoređeni</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dobitak</w:t>
            </w:r>
            <w:proofErr w:type="spellEnd"/>
          </w:p>
        </w:tc>
        <w:tc>
          <w:tcPr>
            <w:tcW w:w="1880" w:type="dxa"/>
            <w:tcBorders>
              <w:top w:val="nil"/>
              <w:left w:val="nil"/>
              <w:bottom w:val="nil"/>
              <w:right w:val="nil"/>
            </w:tcBorders>
            <w:shd w:val="clear" w:color="auto" w:fill="auto"/>
            <w:noWrap/>
            <w:vAlign w:val="center"/>
          </w:tcPr>
          <w:p w14:paraId="7B728BE1" w14:textId="77777777" w:rsidR="00C165F8" w:rsidRPr="001707CF" w:rsidRDefault="00C165F8" w:rsidP="008558ED">
            <w:pPr>
              <w:jc w:val="right"/>
              <w:rPr>
                <w:rFonts w:ascii="Tahoma" w:hAnsi="Tahoma" w:cs="Tahoma"/>
                <w:sz w:val="23"/>
                <w:szCs w:val="23"/>
              </w:rPr>
            </w:pPr>
            <w:r>
              <w:rPr>
                <w:rFonts w:ascii="Tahoma" w:hAnsi="Tahoma" w:cs="Tahoma"/>
                <w:sz w:val="23"/>
                <w:szCs w:val="23"/>
              </w:rPr>
              <w:t>(100.446)</w:t>
            </w:r>
          </w:p>
        </w:tc>
        <w:tc>
          <w:tcPr>
            <w:tcW w:w="1880" w:type="dxa"/>
            <w:tcBorders>
              <w:top w:val="nil"/>
              <w:left w:val="nil"/>
              <w:bottom w:val="nil"/>
              <w:right w:val="nil"/>
            </w:tcBorders>
            <w:shd w:val="clear" w:color="auto" w:fill="auto"/>
            <w:noWrap/>
            <w:vAlign w:val="center"/>
          </w:tcPr>
          <w:p w14:paraId="746D22C8" w14:textId="77777777" w:rsidR="00C165F8" w:rsidRPr="001707CF" w:rsidRDefault="00C165F8" w:rsidP="008558ED">
            <w:pPr>
              <w:jc w:val="right"/>
              <w:rPr>
                <w:rFonts w:ascii="Tahoma" w:hAnsi="Tahoma" w:cs="Tahoma"/>
                <w:sz w:val="23"/>
                <w:szCs w:val="23"/>
              </w:rPr>
            </w:pPr>
            <w:r w:rsidRPr="001707CF">
              <w:rPr>
                <w:rFonts w:ascii="Tahoma" w:hAnsi="Tahoma" w:cs="Tahoma"/>
                <w:sz w:val="23"/>
                <w:szCs w:val="23"/>
              </w:rPr>
              <w:t>(106.771)</w:t>
            </w:r>
          </w:p>
        </w:tc>
      </w:tr>
      <w:tr w:rsidR="00C165F8" w:rsidRPr="001707CF" w14:paraId="60B87F39" w14:textId="77777777" w:rsidTr="008558ED">
        <w:trPr>
          <w:trHeight w:val="120"/>
          <w:jc w:val="center"/>
        </w:trPr>
        <w:tc>
          <w:tcPr>
            <w:tcW w:w="5387" w:type="dxa"/>
            <w:tcBorders>
              <w:top w:val="nil"/>
              <w:left w:val="nil"/>
              <w:bottom w:val="nil"/>
              <w:right w:val="nil"/>
            </w:tcBorders>
            <w:shd w:val="clear" w:color="auto" w:fill="auto"/>
            <w:noWrap/>
            <w:vAlign w:val="center"/>
            <w:hideMark/>
          </w:tcPr>
          <w:p w14:paraId="33FC1853" w14:textId="77777777" w:rsidR="00C165F8" w:rsidRPr="001707CF" w:rsidRDefault="00C165F8" w:rsidP="008558ED">
            <w:pPr>
              <w:rPr>
                <w:rFonts w:ascii="Tahoma" w:hAnsi="Tahoma" w:cs="Tahoma"/>
                <w:sz w:val="23"/>
                <w:szCs w:val="23"/>
              </w:rPr>
            </w:pPr>
          </w:p>
        </w:tc>
        <w:tc>
          <w:tcPr>
            <w:tcW w:w="1880" w:type="dxa"/>
            <w:tcBorders>
              <w:top w:val="nil"/>
              <w:left w:val="nil"/>
              <w:bottom w:val="nil"/>
              <w:right w:val="nil"/>
            </w:tcBorders>
            <w:shd w:val="clear" w:color="auto" w:fill="auto"/>
            <w:noWrap/>
            <w:vAlign w:val="center"/>
          </w:tcPr>
          <w:p w14:paraId="693E036A" w14:textId="77777777" w:rsidR="00C165F8" w:rsidRPr="001707CF" w:rsidRDefault="00C165F8" w:rsidP="008558ED">
            <w:pPr>
              <w:jc w:val="right"/>
              <w:rPr>
                <w:rFonts w:ascii="Tahoma" w:hAnsi="Tahoma" w:cs="Tahoma"/>
                <w:sz w:val="23"/>
                <w:szCs w:val="23"/>
              </w:rPr>
            </w:pPr>
          </w:p>
        </w:tc>
        <w:tc>
          <w:tcPr>
            <w:tcW w:w="1880" w:type="dxa"/>
            <w:tcBorders>
              <w:top w:val="nil"/>
              <w:left w:val="nil"/>
              <w:bottom w:val="nil"/>
              <w:right w:val="nil"/>
            </w:tcBorders>
            <w:shd w:val="clear" w:color="auto" w:fill="auto"/>
            <w:noWrap/>
            <w:vAlign w:val="center"/>
          </w:tcPr>
          <w:p w14:paraId="0B15DC7E" w14:textId="77777777" w:rsidR="00C165F8" w:rsidRPr="001707CF" w:rsidRDefault="00C165F8" w:rsidP="008558ED">
            <w:pPr>
              <w:jc w:val="right"/>
              <w:rPr>
                <w:rFonts w:ascii="Tahoma" w:hAnsi="Tahoma" w:cs="Tahoma"/>
                <w:sz w:val="23"/>
                <w:szCs w:val="23"/>
              </w:rPr>
            </w:pPr>
          </w:p>
        </w:tc>
      </w:tr>
      <w:tr w:rsidR="00C165F8" w:rsidRPr="001707CF" w14:paraId="67FFDCFC" w14:textId="77777777" w:rsidTr="008558ED">
        <w:trPr>
          <w:trHeight w:val="300"/>
          <w:jc w:val="center"/>
        </w:trPr>
        <w:tc>
          <w:tcPr>
            <w:tcW w:w="5387" w:type="dxa"/>
            <w:tcBorders>
              <w:top w:val="nil"/>
              <w:left w:val="nil"/>
              <w:bottom w:val="single" w:sz="4" w:space="0" w:color="auto"/>
              <w:right w:val="nil"/>
            </w:tcBorders>
            <w:shd w:val="clear" w:color="auto" w:fill="auto"/>
            <w:noWrap/>
            <w:vAlign w:val="center"/>
            <w:hideMark/>
          </w:tcPr>
          <w:p w14:paraId="20F5A96A" w14:textId="77777777" w:rsidR="00C165F8" w:rsidRPr="001707CF" w:rsidRDefault="00C165F8" w:rsidP="008558ED">
            <w:pPr>
              <w:rPr>
                <w:rFonts w:ascii="Tahoma" w:hAnsi="Tahoma" w:cs="Tahoma"/>
                <w:b/>
                <w:bCs/>
                <w:sz w:val="23"/>
                <w:szCs w:val="23"/>
              </w:rPr>
            </w:pPr>
            <w:proofErr w:type="spellStart"/>
            <w:r w:rsidRPr="001707CF">
              <w:rPr>
                <w:rFonts w:ascii="Tahoma" w:hAnsi="Tahoma" w:cs="Tahoma"/>
                <w:b/>
                <w:bCs/>
                <w:sz w:val="23"/>
                <w:szCs w:val="23"/>
              </w:rPr>
              <w:t>Ukupno</w:t>
            </w:r>
            <w:proofErr w:type="spellEnd"/>
            <w:r w:rsidRPr="001707CF">
              <w:rPr>
                <w:rFonts w:ascii="Tahoma" w:hAnsi="Tahoma" w:cs="Tahoma"/>
                <w:b/>
                <w:bCs/>
                <w:sz w:val="23"/>
                <w:szCs w:val="23"/>
              </w:rPr>
              <w:t xml:space="preserve"> </w:t>
            </w:r>
            <w:proofErr w:type="spellStart"/>
            <w:r w:rsidRPr="001707CF">
              <w:rPr>
                <w:rFonts w:ascii="Tahoma" w:hAnsi="Tahoma" w:cs="Tahoma"/>
                <w:b/>
                <w:bCs/>
                <w:sz w:val="23"/>
                <w:szCs w:val="23"/>
              </w:rPr>
              <w:t>kapital</w:t>
            </w:r>
            <w:proofErr w:type="spellEnd"/>
          </w:p>
        </w:tc>
        <w:tc>
          <w:tcPr>
            <w:tcW w:w="1880" w:type="dxa"/>
            <w:tcBorders>
              <w:top w:val="nil"/>
              <w:left w:val="nil"/>
              <w:bottom w:val="single" w:sz="4" w:space="0" w:color="auto"/>
              <w:right w:val="nil"/>
            </w:tcBorders>
            <w:shd w:val="clear" w:color="auto" w:fill="auto"/>
            <w:noWrap/>
            <w:vAlign w:val="center"/>
          </w:tcPr>
          <w:p w14:paraId="0B711D14" w14:textId="77777777" w:rsidR="00C165F8" w:rsidRPr="001707CF" w:rsidRDefault="00C165F8" w:rsidP="008558ED">
            <w:pPr>
              <w:jc w:val="right"/>
              <w:rPr>
                <w:rFonts w:ascii="Tahoma" w:hAnsi="Tahoma" w:cs="Tahoma"/>
                <w:b/>
                <w:bCs/>
                <w:sz w:val="23"/>
                <w:szCs w:val="23"/>
              </w:rPr>
            </w:pPr>
            <w:r>
              <w:rPr>
                <w:rFonts w:ascii="Tahoma" w:hAnsi="Tahoma" w:cs="Tahoma"/>
                <w:b/>
                <w:bCs/>
                <w:sz w:val="23"/>
                <w:szCs w:val="23"/>
              </w:rPr>
              <w:t>6.521.329</w:t>
            </w:r>
          </w:p>
        </w:tc>
        <w:tc>
          <w:tcPr>
            <w:tcW w:w="1880" w:type="dxa"/>
            <w:tcBorders>
              <w:top w:val="nil"/>
              <w:left w:val="nil"/>
              <w:bottom w:val="single" w:sz="4" w:space="0" w:color="auto"/>
              <w:right w:val="nil"/>
            </w:tcBorders>
            <w:shd w:val="clear" w:color="auto" w:fill="auto"/>
            <w:noWrap/>
            <w:vAlign w:val="center"/>
          </w:tcPr>
          <w:p w14:paraId="0D754C61" w14:textId="77777777" w:rsidR="00C165F8" w:rsidRPr="001707CF" w:rsidRDefault="00C165F8" w:rsidP="008558ED">
            <w:pPr>
              <w:jc w:val="right"/>
              <w:rPr>
                <w:rFonts w:ascii="Tahoma" w:hAnsi="Tahoma" w:cs="Tahoma"/>
                <w:b/>
                <w:bCs/>
                <w:sz w:val="23"/>
                <w:szCs w:val="23"/>
              </w:rPr>
            </w:pPr>
            <w:r w:rsidRPr="001707CF">
              <w:rPr>
                <w:rFonts w:ascii="Tahoma" w:hAnsi="Tahoma" w:cs="Tahoma"/>
                <w:b/>
                <w:bCs/>
                <w:sz w:val="23"/>
                <w:szCs w:val="23"/>
              </w:rPr>
              <w:t>6.941.256</w:t>
            </w:r>
          </w:p>
        </w:tc>
      </w:tr>
    </w:tbl>
    <w:p w14:paraId="5DCD8EC7" w14:textId="77777777" w:rsidR="00C165F8" w:rsidRPr="001707CF" w:rsidRDefault="00C165F8" w:rsidP="00C165F8">
      <w:pPr>
        <w:tabs>
          <w:tab w:val="left" w:pos="8364"/>
        </w:tabs>
        <w:spacing w:after="120"/>
        <w:ind w:right="709"/>
        <w:jc w:val="right"/>
        <w:rPr>
          <w:rFonts w:ascii="Tahoma" w:hAnsi="Tahoma" w:cs="Tahoma"/>
          <w:i/>
          <w:sz w:val="23"/>
          <w:szCs w:val="23"/>
          <w:lang w:val="sr-Latn-BA"/>
        </w:rPr>
      </w:pPr>
    </w:p>
    <w:p w14:paraId="31EB6354" w14:textId="77777777" w:rsidR="00C165F8" w:rsidRPr="001707CF" w:rsidRDefault="00C165F8" w:rsidP="00C165F8">
      <w:pPr>
        <w:spacing w:after="120"/>
        <w:jc w:val="both"/>
        <w:rPr>
          <w:rFonts w:ascii="Tahoma" w:hAnsi="Tahoma" w:cs="Tahoma"/>
          <w:sz w:val="23"/>
          <w:szCs w:val="23"/>
          <w:lang w:val="sr-Latn-BA"/>
        </w:rPr>
      </w:pPr>
      <w:r w:rsidRPr="001707CF">
        <w:rPr>
          <w:rFonts w:ascii="Tahoma" w:hAnsi="Tahoma" w:cs="Tahoma"/>
          <w:sz w:val="23"/>
          <w:szCs w:val="23"/>
          <w:lang w:val="sr-Latn-BA"/>
        </w:rPr>
        <w:t xml:space="preserve">Neto imovina fonda jednaka je kapitalu fonda </w:t>
      </w:r>
      <w:r>
        <w:rPr>
          <w:rFonts w:ascii="Tahoma" w:hAnsi="Tahoma" w:cs="Tahoma"/>
          <w:sz w:val="23"/>
          <w:szCs w:val="23"/>
          <w:lang w:val="sr-Latn-BA"/>
        </w:rPr>
        <w:t xml:space="preserve">6.521.329 </w:t>
      </w:r>
      <w:r w:rsidRPr="001707CF">
        <w:rPr>
          <w:rFonts w:ascii="Tahoma" w:hAnsi="Tahoma" w:cs="Tahoma"/>
          <w:sz w:val="23"/>
          <w:szCs w:val="23"/>
          <w:lang w:val="sr-Latn-BA"/>
        </w:rPr>
        <w:t>KM (31.12.</w:t>
      </w:r>
      <w:r>
        <w:rPr>
          <w:rFonts w:ascii="Tahoma" w:hAnsi="Tahoma" w:cs="Tahoma"/>
          <w:sz w:val="23"/>
          <w:szCs w:val="23"/>
          <w:lang w:val="sr-Latn-BA"/>
        </w:rPr>
        <w:t>2023</w:t>
      </w:r>
      <w:r w:rsidRPr="001707CF">
        <w:rPr>
          <w:rFonts w:ascii="Tahoma" w:hAnsi="Tahoma" w:cs="Tahoma"/>
          <w:sz w:val="23"/>
          <w:szCs w:val="23"/>
          <w:lang w:val="sr-Latn-BA"/>
        </w:rPr>
        <w:t>. godine 6.941.256 KM). Neto imovina fonda po udjelu na dan 31.12.</w:t>
      </w:r>
      <w:r>
        <w:rPr>
          <w:rFonts w:ascii="Tahoma" w:hAnsi="Tahoma" w:cs="Tahoma"/>
          <w:sz w:val="23"/>
          <w:szCs w:val="23"/>
          <w:lang w:val="sr-Latn-BA"/>
        </w:rPr>
        <w:t>2024</w:t>
      </w:r>
      <w:r w:rsidRPr="001707CF">
        <w:rPr>
          <w:rFonts w:ascii="Tahoma" w:hAnsi="Tahoma" w:cs="Tahoma"/>
          <w:sz w:val="23"/>
          <w:szCs w:val="23"/>
          <w:lang w:val="sr-Latn-BA"/>
        </w:rPr>
        <w:t>. godine iznosi</w:t>
      </w:r>
      <w:r>
        <w:rPr>
          <w:rFonts w:ascii="Tahoma" w:hAnsi="Tahoma" w:cs="Tahoma"/>
          <w:sz w:val="23"/>
          <w:szCs w:val="23"/>
          <w:lang w:val="sr-Latn-BA"/>
        </w:rPr>
        <w:t xml:space="preserve"> 3,1117</w:t>
      </w:r>
      <w:r w:rsidRPr="001707CF">
        <w:rPr>
          <w:rFonts w:ascii="Tahoma" w:hAnsi="Tahoma" w:cs="Tahoma"/>
          <w:sz w:val="23"/>
          <w:szCs w:val="23"/>
          <w:lang w:val="sr-Latn-BA"/>
        </w:rPr>
        <w:t xml:space="preserve"> KM (31.12.</w:t>
      </w:r>
      <w:r>
        <w:rPr>
          <w:rFonts w:ascii="Tahoma" w:hAnsi="Tahoma" w:cs="Tahoma"/>
          <w:sz w:val="23"/>
          <w:szCs w:val="23"/>
          <w:lang w:val="sr-Latn-BA"/>
        </w:rPr>
        <w:t>2023</w:t>
      </w:r>
      <w:r w:rsidRPr="001707CF">
        <w:rPr>
          <w:rFonts w:ascii="Tahoma" w:hAnsi="Tahoma" w:cs="Tahoma"/>
          <w:sz w:val="23"/>
          <w:szCs w:val="23"/>
          <w:lang w:val="sr-Latn-BA"/>
        </w:rPr>
        <w:t>. godine iznosi 3,3057 KM).</w:t>
      </w:r>
    </w:p>
    <w:p w14:paraId="2E4E4ABC" w14:textId="77777777" w:rsidR="00C165F8" w:rsidRPr="001707CF" w:rsidRDefault="00C165F8" w:rsidP="00C165F8">
      <w:pPr>
        <w:spacing w:after="120"/>
        <w:jc w:val="both"/>
        <w:rPr>
          <w:rFonts w:ascii="Tahoma" w:hAnsi="Tahoma" w:cs="Tahoma"/>
          <w:sz w:val="23"/>
          <w:szCs w:val="23"/>
          <w:lang w:val="sr-Latn-BA"/>
        </w:rPr>
      </w:pPr>
    </w:p>
    <w:p w14:paraId="0C95D123" w14:textId="77777777" w:rsidR="00C165F8" w:rsidRPr="001707CF" w:rsidRDefault="00C165F8" w:rsidP="00C165F8">
      <w:pPr>
        <w:numPr>
          <w:ilvl w:val="1"/>
          <w:numId w:val="22"/>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lastRenderedPageBreak/>
        <w:t xml:space="preserve">REVALORIZACIONE REZERVE PO OSNOVU FINSNSIJSKIH SREDSTAVA </w:t>
      </w:r>
      <w:bookmarkStart w:id="5" w:name="_Hlk101266871"/>
      <w:r w:rsidRPr="001707CF">
        <w:rPr>
          <w:rFonts w:ascii="Tahoma" w:hAnsi="Tahoma" w:cs="Tahoma"/>
          <w:b/>
          <w:sz w:val="23"/>
          <w:szCs w:val="23"/>
          <w:lang w:val="sr-Latn-BA"/>
        </w:rPr>
        <w:t>KLASIFIKOVANIH PO FER VRIJEDNOSTI KROZ OSTALI SVEOBUHVATNI REZULTAT</w:t>
      </w:r>
      <w:bookmarkEnd w:id="5"/>
    </w:p>
    <w:p w14:paraId="6A84E016" w14:textId="77777777" w:rsidR="00C165F8" w:rsidRPr="001707CF" w:rsidRDefault="00C165F8" w:rsidP="00C165F8">
      <w:pPr>
        <w:pStyle w:val="ListParagraph"/>
        <w:spacing w:after="120"/>
        <w:ind w:left="0"/>
        <w:jc w:val="both"/>
        <w:rPr>
          <w:rFonts w:ascii="Tahoma" w:hAnsi="Tahoma" w:cs="Tahoma"/>
          <w:color w:val="FF0000"/>
          <w:sz w:val="23"/>
          <w:szCs w:val="23"/>
          <w:lang w:val="sr-Latn-BA"/>
        </w:rPr>
      </w:pPr>
      <w:bookmarkStart w:id="6" w:name="_Hlk101266919"/>
      <w:bookmarkStart w:id="7" w:name="_Hlk100179782"/>
      <w:r w:rsidRPr="001707CF">
        <w:rPr>
          <w:rFonts w:ascii="Tahoma" w:hAnsi="Tahoma" w:cs="Tahoma"/>
          <w:sz w:val="23"/>
          <w:szCs w:val="23"/>
          <w:lang w:val="sr-Latn-BA"/>
        </w:rPr>
        <w:t>Revalorizacione rezerve na dan 31.12.</w:t>
      </w:r>
      <w:r>
        <w:rPr>
          <w:rFonts w:ascii="Tahoma" w:hAnsi="Tahoma" w:cs="Tahoma"/>
          <w:sz w:val="23"/>
          <w:szCs w:val="23"/>
          <w:lang w:val="sr-Latn-BA"/>
        </w:rPr>
        <w:t>2024</w:t>
      </w:r>
      <w:r w:rsidRPr="001707CF">
        <w:rPr>
          <w:rFonts w:ascii="Tahoma" w:hAnsi="Tahoma" w:cs="Tahoma"/>
          <w:sz w:val="23"/>
          <w:szCs w:val="23"/>
          <w:lang w:val="sr-Latn-BA"/>
        </w:rPr>
        <w:t>. godine odnose se na nerealizovane promjene u fer vrijednosti ulaganja klasifikovanih</w:t>
      </w:r>
      <w:r w:rsidRPr="001707CF">
        <w:rPr>
          <w:rFonts w:ascii="Tahoma" w:eastAsiaTheme="minorHAnsi" w:hAnsi="Tahoma" w:cs="Tahoma"/>
          <w:color w:val="000000"/>
          <w:sz w:val="22"/>
          <w:szCs w:val="23"/>
          <w:lang w:val="sr-Latn-BA"/>
        </w:rPr>
        <w:t xml:space="preserve"> kao sredstva po fer vrijednosti kroz ostali sveobuhvatni rezultat</w:t>
      </w:r>
      <w:bookmarkEnd w:id="6"/>
      <w:r w:rsidRPr="001707CF">
        <w:rPr>
          <w:rFonts w:ascii="Tahoma" w:eastAsiaTheme="minorHAnsi" w:hAnsi="Tahoma" w:cs="Tahoma"/>
          <w:color w:val="000000"/>
          <w:sz w:val="22"/>
          <w:szCs w:val="23"/>
          <w:lang w:val="sr-Latn-BA"/>
        </w:rPr>
        <w:t>.</w:t>
      </w:r>
    </w:p>
    <w:p w14:paraId="0695AAED" w14:textId="77777777" w:rsidR="00C165F8" w:rsidRPr="001707CF" w:rsidRDefault="00C165F8" w:rsidP="00C165F8">
      <w:pPr>
        <w:pStyle w:val="ListParagraph"/>
        <w:spacing w:after="120"/>
        <w:ind w:left="0"/>
        <w:jc w:val="both"/>
        <w:rPr>
          <w:rFonts w:ascii="Tahoma" w:hAnsi="Tahoma" w:cs="Tahoma"/>
          <w:sz w:val="23"/>
          <w:szCs w:val="23"/>
          <w:lang w:val="sr-Latn-BA"/>
        </w:rPr>
      </w:pPr>
    </w:p>
    <w:bookmarkEnd w:id="7"/>
    <w:p w14:paraId="36CAEE09" w14:textId="77777777" w:rsidR="00C165F8" w:rsidRPr="001707CF" w:rsidRDefault="00C165F8" w:rsidP="00C165F8">
      <w:pPr>
        <w:numPr>
          <w:ilvl w:val="1"/>
          <w:numId w:val="22"/>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NERASPOREĐENI DOBITAK/(GUBITAK)</w:t>
      </w:r>
    </w:p>
    <w:p w14:paraId="221AA1FE" w14:textId="77777777" w:rsidR="00C165F8" w:rsidRPr="001707CF" w:rsidRDefault="00C165F8" w:rsidP="00C165F8">
      <w:pPr>
        <w:autoSpaceDE w:val="0"/>
        <w:autoSpaceDN w:val="0"/>
        <w:adjustRightInd w:val="0"/>
        <w:spacing w:after="120"/>
        <w:jc w:val="both"/>
        <w:rPr>
          <w:rFonts w:ascii="Tahoma" w:hAnsi="Tahoma" w:cs="Tahoma"/>
          <w:sz w:val="23"/>
          <w:szCs w:val="23"/>
          <w:lang w:val="sr-Latn-BA"/>
        </w:rPr>
      </w:pPr>
      <w:r w:rsidRPr="001707CF">
        <w:rPr>
          <w:rFonts w:ascii="Tahoma" w:hAnsi="Tahoma" w:cs="Tahoma"/>
          <w:sz w:val="23"/>
          <w:szCs w:val="23"/>
          <w:lang w:val="sr-Latn-BA"/>
        </w:rPr>
        <w:t>Neraspoređeni gubitak Fonda na dan 31.12.</w:t>
      </w:r>
      <w:r>
        <w:rPr>
          <w:rFonts w:ascii="Tahoma" w:hAnsi="Tahoma" w:cs="Tahoma"/>
          <w:sz w:val="23"/>
          <w:szCs w:val="23"/>
          <w:lang w:val="sr-Latn-BA"/>
        </w:rPr>
        <w:t>2024</w:t>
      </w:r>
      <w:r w:rsidRPr="001707CF">
        <w:rPr>
          <w:rFonts w:ascii="Tahoma" w:hAnsi="Tahoma" w:cs="Tahoma"/>
          <w:sz w:val="23"/>
          <w:szCs w:val="23"/>
          <w:lang w:val="sr-Latn-BA"/>
        </w:rPr>
        <w:t xml:space="preserve">. godine u iznosu od </w:t>
      </w:r>
      <w:r>
        <w:rPr>
          <w:rFonts w:ascii="Tahoma" w:hAnsi="Tahoma" w:cs="Tahoma"/>
          <w:sz w:val="23"/>
          <w:szCs w:val="23"/>
          <w:lang w:val="sr-Latn-BA"/>
        </w:rPr>
        <w:t>100.446</w:t>
      </w:r>
      <w:r w:rsidRPr="001707CF">
        <w:rPr>
          <w:rFonts w:ascii="Tahoma" w:hAnsi="Tahoma" w:cs="Tahoma"/>
          <w:sz w:val="23"/>
          <w:szCs w:val="23"/>
          <w:lang w:val="sr-Latn-BA"/>
        </w:rPr>
        <w:t xml:space="preserve"> KM odnosi se na nepokriveni gubitak tekuće godine </w:t>
      </w:r>
      <w:r>
        <w:rPr>
          <w:rFonts w:ascii="Tahoma" w:hAnsi="Tahoma" w:cs="Tahoma"/>
          <w:sz w:val="23"/>
          <w:szCs w:val="23"/>
          <w:lang w:val="sr-Latn-BA"/>
        </w:rPr>
        <w:t>162.675</w:t>
      </w:r>
      <w:r w:rsidRPr="001707CF">
        <w:rPr>
          <w:rFonts w:ascii="Tahoma" w:hAnsi="Tahoma" w:cs="Tahoma"/>
          <w:sz w:val="23"/>
          <w:szCs w:val="23"/>
          <w:lang w:val="sr-Latn-BA"/>
        </w:rPr>
        <w:t xml:space="preserve"> KM i dobitak ranijih godina </w:t>
      </w:r>
      <w:r>
        <w:rPr>
          <w:rFonts w:ascii="Tahoma" w:hAnsi="Tahoma" w:cs="Tahoma"/>
          <w:sz w:val="23"/>
          <w:szCs w:val="23"/>
          <w:lang w:val="sr-Latn-BA"/>
        </w:rPr>
        <w:t>62.228</w:t>
      </w:r>
      <w:r w:rsidRPr="001707CF">
        <w:rPr>
          <w:rFonts w:ascii="Tahoma" w:hAnsi="Tahoma" w:cs="Tahoma"/>
          <w:sz w:val="23"/>
          <w:szCs w:val="23"/>
          <w:lang w:val="sr-Latn-BA"/>
        </w:rPr>
        <w:t xml:space="preserve"> KM.</w:t>
      </w:r>
    </w:p>
    <w:p w14:paraId="72C55520" w14:textId="77777777" w:rsidR="00C165F8" w:rsidRPr="001707CF" w:rsidRDefault="00C165F8" w:rsidP="00C165F8">
      <w:pPr>
        <w:spacing w:after="120"/>
        <w:jc w:val="both"/>
        <w:rPr>
          <w:rFonts w:ascii="Tahoma" w:hAnsi="Tahoma" w:cs="Tahoma"/>
          <w:sz w:val="23"/>
          <w:szCs w:val="23"/>
          <w:lang w:val="sr-Latn-BA"/>
        </w:rPr>
      </w:pPr>
    </w:p>
    <w:p w14:paraId="175FB43F" w14:textId="77777777" w:rsidR="00C165F8" w:rsidRPr="001707CF" w:rsidRDefault="00C165F8" w:rsidP="00C165F8">
      <w:pPr>
        <w:spacing w:after="120"/>
        <w:jc w:val="both"/>
        <w:rPr>
          <w:rFonts w:ascii="Tahoma" w:hAnsi="Tahoma" w:cs="Tahoma"/>
          <w:sz w:val="23"/>
          <w:szCs w:val="23"/>
          <w:lang w:val="sr-Latn-BA"/>
        </w:rPr>
      </w:pPr>
    </w:p>
    <w:p w14:paraId="4D92A609" w14:textId="77777777" w:rsidR="00C165F8" w:rsidRPr="001707CF" w:rsidRDefault="00C165F8" w:rsidP="00C165F8">
      <w:pPr>
        <w:spacing w:after="120"/>
        <w:jc w:val="both"/>
        <w:rPr>
          <w:rFonts w:ascii="Tahoma" w:hAnsi="Tahoma" w:cs="Tahoma"/>
          <w:sz w:val="23"/>
          <w:szCs w:val="23"/>
          <w:lang w:val="sr-Latn-BA"/>
        </w:rPr>
      </w:pPr>
    </w:p>
    <w:p w14:paraId="0DF8763F" w14:textId="77777777" w:rsidR="00C165F8" w:rsidRPr="001707CF" w:rsidRDefault="00C165F8" w:rsidP="00C165F8">
      <w:pPr>
        <w:spacing w:after="120"/>
        <w:jc w:val="both"/>
        <w:rPr>
          <w:rFonts w:ascii="Tahoma" w:hAnsi="Tahoma" w:cs="Tahoma"/>
          <w:sz w:val="23"/>
          <w:szCs w:val="23"/>
          <w:lang w:val="sr-Latn-BA"/>
        </w:rPr>
      </w:pPr>
    </w:p>
    <w:p w14:paraId="0FDD1399" w14:textId="77777777" w:rsidR="00C165F8" w:rsidRPr="001707CF" w:rsidRDefault="00C165F8" w:rsidP="00C165F8">
      <w:pPr>
        <w:numPr>
          <w:ilvl w:val="0"/>
          <w:numId w:val="22"/>
        </w:numPr>
        <w:autoSpaceDE w:val="0"/>
        <w:autoSpaceDN w:val="0"/>
        <w:adjustRightInd w:val="0"/>
        <w:spacing w:after="120"/>
        <w:rPr>
          <w:rFonts w:ascii="Tahoma" w:hAnsi="Tahoma" w:cs="Tahoma"/>
          <w:b/>
          <w:bCs/>
          <w:iCs/>
          <w:sz w:val="23"/>
          <w:szCs w:val="23"/>
          <w:u w:val="single"/>
          <w:lang w:val="sr-Latn-BA"/>
        </w:rPr>
      </w:pPr>
      <w:r w:rsidRPr="001707CF">
        <w:rPr>
          <w:rFonts w:ascii="Tahoma" w:hAnsi="Tahoma" w:cs="Tahoma"/>
          <w:b/>
          <w:bCs/>
          <w:sz w:val="23"/>
          <w:szCs w:val="23"/>
          <w:lang w:val="sr-Latn-BA"/>
        </w:rPr>
        <w:t>TRANSAKCIJE SA POVEZANIM LICIMA</w:t>
      </w:r>
      <w:r w:rsidRPr="001707CF">
        <w:rPr>
          <w:rFonts w:ascii="Tahoma" w:hAnsi="Tahoma" w:cs="Tahoma"/>
          <w:b/>
          <w:bCs/>
          <w:iCs/>
          <w:sz w:val="23"/>
          <w:szCs w:val="23"/>
          <w:u w:val="single"/>
          <w:lang w:val="sr-Latn-BA"/>
        </w:rPr>
        <w:t xml:space="preserve"> </w:t>
      </w:r>
    </w:p>
    <w:p w14:paraId="2F459DB7" w14:textId="77777777" w:rsidR="00C165F8" w:rsidRPr="001707CF" w:rsidRDefault="00C165F8" w:rsidP="00C165F8">
      <w:pPr>
        <w:spacing w:after="120"/>
        <w:jc w:val="both"/>
        <w:rPr>
          <w:rFonts w:ascii="Tahoma" w:hAnsi="Tahoma" w:cs="Tahoma"/>
          <w:sz w:val="23"/>
          <w:szCs w:val="23"/>
          <w:lang w:val="sr-Latn-BA"/>
        </w:rPr>
      </w:pPr>
      <w:r w:rsidRPr="001707CF">
        <w:rPr>
          <w:rFonts w:ascii="Tahoma" w:hAnsi="Tahoma" w:cs="Tahoma"/>
          <w:sz w:val="23"/>
          <w:szCs w:val="23"/>
          <w:lang w:val="sr-Latn-BA"/>
        </w:rPr>
        <w:t xml:space="preserve">U skladu sa odredbama Zakona o investicionim fondovima pod povezanim stranama (licima) se smatraju: </w:t>
      </w:r>
    </w:p>
    <w:p w14:paraId="1CC033C0" w14:textId="77777777" w:rsidR="00C165F8" w:rsidRPr="001707CF" w:rsidRDefault="00C165F8" w:rsidP="00C165F8">
      <w:pPr>
        <w:spacing w:after="120"/>
        <w:ind w:left="930" w:hanging="284"/>
        <w:jc w:val="both"/>
        <w:rPr>
          <w:rFonts w:ascii="Tahoma" w:hAnsi="Tahoma" w:cs="Tahoma"/>
          <w:sz w:val="23"/>
          <w:szCs w:val="23"/>
          <w:lang w:val="sr-Latn-BA"/>
        </w:rPr>
      </w:pPr>
      <w:r w:rsidRPr="001707CF">
        <w:rPr>
          <w:rFonts w:ascii="Tahoma" w:hAnsi="Tahoma" w:cs="Tahoma"/>
          <w:sz w:val="23"/>
          <w:szCs w:val="23"/>
          <w:lang w:val="sr-Latn-BA"/>
        </w:rPr>
        <w:t xml:space="preserve">a) akcionar  ili  grupa  akcionara  koji  djeluju  zajednički,  odnosno  vlasnik  poslovnog udjela ili grupa vlasnika poslovnih udjela koji djeluju zajednički, a posjeduju više od  10%  akcija  ili  udjela  u  osnovnom  kapitalu  društva  ili  koji,  iako  posjeduju manji procijenat od navedenog, mogu uticati, direktno ili indirektno, na odluke koje donosi takav subjekt; </w:t>
      </w:r>
    </w:p>
    <w:p w14:paraId="148DFE0E" w14:textId="77777777" w:rsidR="00C165F8" w:rsidRPr="001707CF" w:rsidRDefault="00C165F8" w:rsidP="00C165F8">
      <w:pPr>
        <w:spacing w:after="120"/>
        <w:ind w:left="930" w:hanging="284"/>
        <w:jc w:val="both"/>
        <w:rPr>
          <w:rFonts w:ascii="Tahoma" w:hAnsi="Tahoma" w:cs="Tahoma"/>
          <w:sz w:val="23"/>
          <w:szCs w:val="23"/>
          <w:lang w:val="sr-Latn-BA"/>
        </w:rPr>
      </w:pPr>
      <w:r w:rsidRPr="001707CF">
        <w:rPr>
          <w:rFonts w:ascii="Tahoma" w:hAnsi="Tahoma" w:cs="Tahoma"/>
          <w:sz w:val="23"/>
          <w:szCs w:val="23"/>
          <w:lang w:val="sr-Latn-BA"/>
        </w:rPr>
        <w:t xml:space="preserve">b) svaki subjekt u kojem prvi subjekt posjeduje, direktno ili indirektno, više od 10% akcija ili  udjela  u  osnovnom  kapitalu  društva  ili  koji,  iako  posjeduje  manji procijenat  od  naznačenog,  može  uticati  direktno  ili  indirektno  na  odluke  koje donosi takav subjekt; </w:t>
      </w:r>
    </w:p>
    <w:p w14:paraId="2658267F" w14:textId="77777777" w:rsidR="00C165F8" w:rsidRPr="001707CF" w:rsidRDefault="00C165F8" w:rsidP="00C165F8">
      <w:pPr>
        <w:spacing w:after="120"/>
        <w:ind w:left="930" w:hanging="284"/>
        <w:jc w:val="both"/>
        <w:rPr>
          <w:rFonts w:ascii="Tahoma" w:hAnsi="Tahoma" w:cs="Tahoma"/>
          <w:sz w:val="23"/>
          <w:szCs w:val="23"/>
          <w:lang w:val="sr-Latn-BA"/>
        </w:rPr>
      </w:pPr>
      <w:r w:rsidRPr="001707CF">
        <w:rPr>
          <w:rFonts w:ascii="Tahoma" w:hAnsi="Tahoma" w:cs="Tahoma"/>
          <w:sz w:val="23"/>
          <w:szCs w:val="23"/>
          <w:lang w:val="sr-Latn-BA"/>
        </w:rPr>
        <w:t>c) svako fizičko lice ili lica koja mogu, direktno ili indirektno, uticati na odluke subjekta, a naročito:</w:t>
      </w:r>
    </w:p>
    <w:p w14:paraId="1EC98D96" w14:textId="77777777" w:rsidR="00C165F8" w:rsidRPr="001707CF" w:rsidRDefault="00C165F8" w:rsidP="00C165F8">
      <w:pPr>
        <w:spacing w:after="120"/>
        <w:ind w:left="1870" w:hanging="430"/>
        <w:jc w:val="both"/>
        <w:rPr>
          <w:rFonts w:ascii="Tahoma" w:hAnsi="Tahoma" w:cs="Tahoma"/>
          <w:sz w:val="23"/>
          <w:szCs w:val="23"/>
          <w:lang w:val="sr-Latn-BA"/>
        </w:rPr>
      </w:pPr>
      <w:r w:rsidRPr="001707CF">
        <w:rPr>
          <w:rFonts w:ascii="Tahoma" w:hAnsi="Tahoma" w:cs="Tahoma"/>
          <w:sz w:val="23"/>
          <w:szCs w:val="23"/>
          <w:lang w:val="sr-Latn-BA"/>
        </w:rPr>
        <w:t xml:space="preserve">1) članovi uže porodice (bračni supružnik ili lice sa kojim živi u vanbračnoj zajednici, djeca ili usvojena djeca i lica koja su pod starateljstvom tog lica); </w:t>
      </w:r>
    </w:p>
    <w:p w14:paraId="354976DB" w14:textId="77777777" w:rsidR="00C165F8" w:rsidRPr="001707CF" w:rsidRDefault="00C165F8" w:rsidP="00C165F8">
      <w:pPr>
        <w:ind w:left="930" w:firstLine="510"/>
        <w:jc w:val="both"/>
        <w:rPr>
          <w:rFonts w:ascii="Tahoma" w:hAnsi="Tahoma" w:cs="Tahoma"/>
          <w:sz w:val="23"/>
          <w:szCs w:val="23"/>
          <w:lang w:val="sr-Latn-BA"/>
        </w:rPr>
      </w:pPr>
      <w:r w:rsidRPr="001707CF">
        <w:rPr>
          <w:rFonts w:ascii="Tahoma" w:hAnsi="Tahoma" w:cs="Tahoma"/>
          <w:sz w:val="23"/>
          <w:szCs w:val="23"/>
          <w:lang w:val="sr-Latn-BA"/>
        </w:rPr>
        <w:t xml:space="preserve">2) članovi uprave ili nadzornog odbora i članovi uže porodice tih lica; ili </w:t>
      </w:r>
    </w:p>
    <w:p w14:paraId="5E616E59" w14:textId="77777777" w:rsidR="00C165F8" w:rsidRPr="001707CF" w:rsidRDefault="00C165F8" w:rsidP="00C165F8">
      <w:pPr>
        <w:spacing w:after="120"/>
        <w:ind w:left="1870" w:hanging="430"/>
        <w:jc w:val="both"/>
        <w:rPr>
          <w:rFonts w:ascii="Tahoma" w:hAnsi="Tahoma" w:cs="Tahoma"/>
          <w:sz w:val="23"/>
          <w:szCs w:val="23"/>
          <w:lang w:val="sr-Latn-BA"/>
        </w:rPr>
      </w:pPr>
      <w:r w:rsidRPr="001707CF">
        <w:rPr>
          <w:rFonts w:ascii="Tahoma" w:hAnsi="Tahoma" w:cs="Tahoma"/>
          <w:sz w:val="23"/>
          <w:szCs w:val="23"/>
          <w:lang w:val="sr-Latn-BA"/>
        </w:rPr>
        <w:t>3) lica zaposlena na osnovu ugovora o radu sa posebnim uslovima sklopljenog sa subjektom u kojem su zaposlena kao i članovi uže porodice tih lica.</w:t>
      </w:r>
    </w:p>
    <w:p w14:paraId="5AD32E69" w14:textId="77777777" w:rsidR="00C165F8" w:rsidRPr="001707CF" w:rsidRDefault="00C165F8" w:rsidP="00C165F8">
      <w:pPr>
        <w:spacing w:after="120"/>
        <w:jc w:val="both"/>
        <w:rPr>
          <w:rFonts w:ascii="Tahoma" w:hAnsi="Tahoma" w:cs="Tahoma"/>
          <w:sz w:val="23"/>
          <w:szCs w:val="23"/>
          <w:lang w:val="sr-Latn-BA"/>
        </w:rPr>
      </w:pPr>
      <w:r w:rsidRPr="001707CF">
        <w:rPr>
          <w:rFonts w:ascii="Tahoma" w:hAnsi="Tahoma" w:cs="Tahoma"/>
          <w:sz w:val="23"/>
          <w:szCs w:val="23"/>
          <w:lang w:val="sr-Latn-BA"/>
        </w:rPr>
        <w:t>Osim navedenog, Zakonom je definisano da su povezana lica fonda: društvo za upravljanje, banka depozitar, advokat odnosno advokatska kancelarija, revizor i poreski savjetnik koji se nalaze u ugovornom odnosu po osnovu pružanja usluga fondu, kao i svako drugo lice koje je u prethodne dvije kalendarske  godine zaključilo  ugovor  o  obavljanju  usluga  za  potrebe fonda.</w:t>
      </w:r>
    </w:p>
    <w:p w14:paraId="72A8696D" w14:textId="77777777" w:rsidR="00C165F8" w:rsidRPr="001707CF" w:rsidRDefault="00C165F8" w:rsidP="00C165F8">
      <w:pPr>
        <w:spacing w:after="120"/>
        <w:jc w:val="both"/>
        <w:rPr>
          <w:rFonts w:ascii="Tahoma" w:hAnsi="Tahoma" w:cs="Tahoma"/>
          <w:sz w:val="23"/>
          <w:szCs w:val="23"/>
          <w:lang w:val="sr-Latn-BA"/>
        </w:rPr>
      </w:pPr>
      <w:r w:rsidRPr="001707CF">
        <w:rPr>
          <w:rFonts w:ascii="Tahoma" w:hAnsi="Tahoma" w:cs="Tahoma"/>
          <w:sz w:val="23"/>
          <w:szCs w:val="23"/>
          <w:lang w:val="sr-Latn-BA"/>
        </w:rPr>
        <w:t>U narednoj tabeli dat je pregled transakcija sa povezanim licima (isplate):</w:t>
      </w:r>
    </w:p>
    <w:tbl>
      <w:tblPr>
        <w:tblW w:w="7797" w:type="dxa"/>
        <w:jc w:val="center"/>
        <w:tblLayout w:type="fixed"/>
        <w:tblCellMar>
          <w:left w:w="0" w:type="dxa"/>
          <w:right w:w="0" w:type="dxa"/>
        </w:tblCellMar>
        <w:tblLook w:val="0000" w:firstRow="0" w:lastRow="0" w:firstColumn="0" w:lastColumn="0" w:noHBand="0" w:noVBand="0"/>
      </w:tblPr>
      <w:tblGrid>
        <w:gridCol w:w="4189"/>
        <w:gridCol w:w="1804"/>
        <w:gridCol w:w="1804"/>
      </w:tblGrid>
      <w:tr w:rsidR="00C165F8" w:rsidRPr="001707CF" w14:paraId="2AFDC558" w14:textId="77777777" w:rsidTr="008558ED">
        <w:trPr>
          <w:trHeight w:hRule="exact" w:val="657"/>
          <w:jc w:val="center"/>
        </w:trPr>
        <w:tc>
          <w:tcPr>
            <w:tcW w:w="4189" w:type="dxa"/>
            <w:tcBorders>
              <w:top w:val="single" w:sz="4" w:space="0" w:color="auto"/>
              <w:bottom w:val="single" w:sz="4" w:space="0" w:color="auto"/>
            </w:tcBorders>
            <w:vAlign w:val="center"/>
          </w:tcPr>
          <w:p w14:paraId="41E18165" w14:textId="77777777" w:rsidR="00C165F8" w:rsidRPr="001707CF" w:rsidRDefault="00C165F8" w:rsidP="008558ED">
            <w:pPr>
              <w:widowControl w:val="0"/>
              <w:autoSpaceDE w:val="0"/>
              <w:autoSpaceDN w:val="0"/>
              <w:adjustRightInd w:val="0"/>
              <w:ind w:left="94"/>
              <w:jc w:val="center"/>
              <w:rPr>
                <w:rFonts w:ascii="Tahoma" w:hAnsi="Tahoma" w:cs="Tahoma"/>
                <w:b/>
                <w:i/>
                <w:sz w:val="23"/>
                <w:szCs w:val="23"/>
                <w:lang w:val="sr-Latn-BA" w:eastAsia="sr-Latn-BA"/>
              </w:rPr>
            </w:pPr>
            <w:r w:rsidRPr="001707CF">
              <w:rPr>
                <w:rFonts w:ascii="Tahoma" w:hAnsi="Tahoma" w:cs="Tahoma"/>
                <w:b/>
                <w:i/>
                <w:spacing w:val="2"/>
                <w:sz w:val="23"/>
                <w:szCs w:val="23"/>
                <w:lang w:val="sr-Latn-BA" w:eastAsia="sr-Latn-BA"/>
              </w:rPr>
              <w:t>Povezano lice</w:t>
            </w:r>
          </w:p>
        </w:tc>
        <w:tc>
          <w:tcPr>
            <w:tcW w:w="1804" w:type="dxa"/>
            <w:tcBorders>
              <w:top w:val="single" w:sz="4" w:space="0" w:color="auto"/>
              <w:bottom w:val="single" w:sz="4" w:space="0" w:color="auto"/>
            </w:tcBorders>
            <w:vAlign w:val="center"/>
          </w:tcPr>
          <w:p w14:paraId="032DD0D8" w14:textId="77777777" w:rsidR="00C165F8" w:rsidRPr="001707CF" w:rsidRDefault="00C165F8" w:rsidP="008558ED">
            <w:pPr>
              <w:widowControl w:val="0"/>
              <w:autoSpaceDE w:val="0"/>
              <w:autoSpaceDN w:val="0"/>
              <w:adjustRightInd w:val="0"/>
              <w:ind w:left="94"/>
              <w:jc w:val="center"/>
              <w:rPr>
                <w:rFonts w:ascii="Tahoma" w:hAnsi="Tahoma" w:cs="Tahoma"/>
                <w:b/>
                <w:i/>
                <w:spacing w:val="2"/>
                <w:sz w:val="23"/>
                <w:szCs w:val="23"/>
                <w:lang w:val="sr-Latn-BA" w:eastAsia="sr-Latn-BA"/>
              </w:rPr>
            </w:pPr>
            <w:r w:rsidRPr="001707CF">
              <w:rPr>
                <w:rFonts w:ascii="Tahoma" w:hAnsi="Tahoma" w:cs="Tahoma"/>
                <w:b/>
                <w:i/>
                <w:spacing w:val="2"/>
                <w:sz w:val="23"/>
                <w:szCs w:val="23"/>
                <w:lang w:val="sr-Latn-BA" w:eastAsia="sr-Latn-BA"/>
              </w:rPr>
              <w:t xml:space="preserve">Iznos isplate </w:t>
            </w:r>
            <w:r>
              <w:rPr>
                <w:rFonts w:ascii="Tahoma" w:hAnsi="Tahoma" w:cs="Tahoma"/>
                <w:b/>
                <w:i/>
                <w:spacing w:val="2"/>
                <w:sz w:val="23"/>
                <w:szCs w:val="23"/>
                <w:lang w:val="sr-Latn-BA" w:eastAsia="sr-Latn-BA"/>
              </w:rPr>
              <w:t>2024</w:t>
            </w:r>
            <w:r w:rsidRPr="001707CF">
              <w:rPr>
                <w:rFonts w:ascii="Tahoma" w:hAnsi="Tahoma" w:cs="Tahoma"/>
                <w:b/>
                <w:i/>
                <w:spacing w:val="2"/>
                <w:sz w:val="23"/>
                <w:szCs w:val="23"/>
                <w:lang w:val="sr-Latn-BA" w:eastAsia="sr-Latn-BA"/>
              </w:rPr>
              <w:t>.</w:t>
            </w:r>
          </w:p>
        </w:tc>
        <w:tc>
          <w:tcPr>
            <w:tcW w:w="1804" w:type="dxa"/>
            <w:tcBorders>
              <w:top w:val="single" w:sz="4" w:space="0" w:color="auto"/>
              <w:bottom w:val="single" w:sz="4" w:space="0" w:color="auto"/>
            </w:tcBorders>
            <w:vAlign w:val="center"/>
          </w:tcPr>
          <w:p w14:paraId="0FB19715" w14:textId="77777777" w:rsidR="00C165F8" w:rsidRPr="001707CF" w:rsidRDefault="00C165F8" w:rsidP="008558ED">
            <w:pPr>
              <w:widowControl w:val="0"/>
              <w:autoSpaceDE w:val="0"/>
              <w:autoSpaceDN w:val="0"/>
              <w:adjustRightInd w:val="0"/>
              <w:ind w:left="94"/>
              <w:jc w:val="center"/>
              <w:rPr>
                <w:rFonts w:ascii="Tahoma" w:hAnsi="Tahoma" w:cs="Tahoma"/>
                <w:b/>
                <w:sz w:val="23"/>
                <w:szCs w:val="23"/>
                <w:lang w:val="sr-Latn-BA" w:eastAsia="sr-Latn-BA"/>
              </w:rPr>
            </w:pPr>
            <w:r w:rsidRPr="001707CF">
              <w:rPr>
                <w:rFonts w:ascii="Tahoma" w:hAnsi="Tahoma" w:cs="Tahoma"/>
                <w:b/>
                <w:i/>
                <w:spacing w:val="2"/>
                <w:sz w:val="23"/>
                <w:szCs w:val="23"/>
                <w:lang w:val="sr-Latn-BA" w:eastAsia="sr-Latn-BA"/>
              </w:rPr>
              <w:t xml:space="preserve">Iznos isplate </w:t>
            </w:r>
            <w:r>
              <w:rPr>
                <w:rFonts w:ascii="Tahoma" w:hAnsi="Tahoma" w:cs="Tahoma"/>
                <w:b/>
                <w:i/>
                <w:spacing w:val="2"/>
                <w:sz w:val="23"/>
                <w:szCs w:val="23"/>
                <w:lang w:val="sr-Latn-BA" w:eastAsia="sr-Latn-BA"/>
              </w:rPr>
              <w:t>2023</w:t>
            </w:r>
            <w:r w:rsidRPr="001707CF">
              <w:rPr>
                <w:rFonts w:ascii="Tahoma" w:hAnsi="Tahoma" w:cs="Tahoma"/>
                <w:b/>
                <w:i/>
                <w:spacing w:val="2"/>
                <w:sz w:val="23"/>
                <w:szCs w:val="23"/>
                <w:lang w:val="sr-Latn-BA" w:eastAsia="sr-Latn-BA"/>
              </w:rPr>
              <w:t>.</w:t>
            </w:r>
          </w:p>
        </w:tc>
      </w:tr>
      <w:tr w:rsidR="00C165F8" w:rsidRPr="001707CF" w14:paraId="4ED0E2DC" w14:textId="77777777" w:rsidTr="008558ED">
        <w:trPr>
          <w:trHeight w:val="442"/>
          <w:jc w:val="center"/>
        </w:trPr>
        <w:tc>
          <w:tcPr>
            <w:tcW w:w="4189" w:type="dxa"/>
            <w:tcBorders>
              <w:top w:val="single" w:sz="4" w:space="0" w:color="auto"/>
            </w:tcBorders>
            <w:vAlign w:val="center"/>
          </w:tcPr>
          <w:p w14:paraId="64887ABD" w14:textId="77777777" w:rsidR="00C165F8" w:rsidRPr="001707CF" w:rsidRDefault="00C165F8" w:rsidP="008558ED">
            <w:pPr>
              <w:widowControl w:val="0"/>
              <w:autoSpaceDE w:val="0"/>
              <w:autoSpaceDN w:val="0"/>
              <w:adjustRightInd w:val="0"/>
              <w:ind w:left="122"/>
              <w:rPr>
                <w:rFonts w:ascii="Tahoma" w:hAnsi="Tahoma" w:cs="Tahoma"/>
                <w:sz w:val="23"/>
                <w:szCs w:val="23"/>
                <w:lang w:val="sr-Latn-BA" w:eastAsia="sr-Latn-BA"/>
              </w:rPr>
            </w:pPr>
            <w:r w:rsidRPr="001707CF">
              <w:rPr>
                <w:rFonts w:ascii="Tahoma" w:hAnsi="Tahoma" w:cs="Tahoma"/>
                <w:position w:val="-1"/>
                <w:sz w:val="23"/>
                <w:szCs w:val="23"/>
                <w:lang w:val="sr-Latn-BA" w:eastAsia="sr-Latn-BA"/>
              </w:rPr>
              <w:t>DUIF „Polara Invest“ a.d.</w:t>
            </w:r>
          </w:p>
        </w:tc>
        <w:tc>
          <w:tcPr>
            <w:tcW w:w="1804" w:type="dxa"/>
            <w:tcBorders>
              <w:top w:val="single" w:sz="4" w:space="0" w:color="auto"/>
            </w:tcBorders>
            <w:vAlign w:val="center"/>
          </w:tcPr>
          <w:p w14:paraId="62D98039" w14:textId="77777777" w:rsidR="00C165F8" w:rsidRPr="001707CF" w:rsidRDefault="00C165F8" w:rsidP="008558ED">
            <w:pPr>
              <w:widowControl w:val="0"/>
              <w:autoSpaceDE w:val="0"/>
              <w:autoSpaceDN w:val="0"/>
              <w:adjustRightInd w:val="0"/>
              <w:ind w:left="190" w:right="142"/>
              <w:jc w:val="right"/>
              <w:rPr>
                <w:rFonts w:ascii="Tahoma" w:hAnsi="Tahoma" w:cs="Tahoma"/>
                <w:spacing w:val="1"/>
                <w:sz w:val="23"/>
                <w:szCs w:val="23"/>
                <w:lang w:val="sr-Latn-BA" w:eastAsia="sr-Latn-BA"/>
              </w:rPr>
            </w:pPr>
            <w:r>
              <w:rPr>
                <w:rFonts w:ascii="Tahoma" w:hAnsi="Tahoma" w:cs="Tahoma"/>
                <w:spacing w:val="1"/>
                <w:sz w:val="23"/>
                <w:szCs w:val="23"/>
                <w:lang w:val="sr-Latn-BA" w:eastAsia="sr-Latn-BA"/>
              </w:rPr>
              <w:t>248.393</w:t>
            </w:r>
          </w:p>
        </w:tc>
        <w:tc>
          <w:tcPr>
            <w:tcW w:w="1804" w:type="dxa"/>
            <w:tcBorders>
              <w:top w:val="single" w:sz="4" w:space="0" w:color="auto"/>
              <w:bottom w:val="single" w:sz="4" w:space="0" w:color="auto"/>
            </w:tcBorders>
            <w:vAlign w:val="center"/>
          </w:tcPr>
          <w:p w14:paraId="4D18E332" w14:textId="77777777" w:rsidR="00C165F8" w:rsidRPr="001707CF" w:rsidRDefault="00C165F8" w:rsidP="008558ED">
            <w:pPr>
              <w:widowControl w:val="0"/>
              <w:autoSpaceDE w:val="0"/>
              <w:autoSpaceDN w:val="0"/>
              <w:adjustRightInd w:val="0"/>
              <w:ind w:left="190" w:right="142"/>
              <w:jc w:val="right"/>
              <w:rPr>
                <w:rFonts w:ascii="Tahoma" w:hAnsi="Tahoma" w:cs="Tahoma"/>
                <w:sz w:val="23"/>
                <w:szCs w:val="23"/>
                <w:lang w:val="sr-Latn-BA" w:eastAsia="sr-Latn-BA"/>
              </w:rPr>
            </w:pPr>
            <w:r w:rsidRPr="001707CF">
              <w:rPr>
                <w:rFonts w:ascii="Tahoma" w:hAnsi="Tahoma" w:cs="Tahoma"/>
                <w:spacing w:val="1"/>
                <w:sz w:val="23"/>
                <w:szCs w:val="23"/>
                <w:lang w:val="sr-Latn-BA" w:eastAsia="sr-Latn-BA"/>
              </w:rPr>
              <w:t>217.556</w:t>
            </w:r>
          </w:p>
        </w:tc>
      </w:tr>
      <w:tr w:rsidR="00C165F8" w:rsidRPr="001707CF" w14:paraId="5135A65F" w14:textId="77777777" w:rsidTr="008558ED">
        <w:trPr>
          <w:trHeight w:hRule="exact" w:val="418"/>
          <w:jc w:val="center"/>
        </w:trPr>
        <w:tc>
          <w:tcPr>
            <w:tcW w:w="4189" w:type="dxa"/>
            <w:tcBorders>
              <w:top w:val="single" w:sz="4" w:space="0" w:color="auto"/>
              <w:bottom w:val="single" w:sz="4" w:space="0" w:color="auto"/>
            </w:tcBorders>
            <w:vAlign w:val="center"/>
          </w:tcPr>
          <w:p w14:paraId="3E9BE8C4" w14:textId="77777777" w:rsidR="00C165F8" w:rsidRPr="001707CF" w:rsidRDefault="00C165F8" w:rsidP="008558ED">
            <w:pPr>
              <w:widowControl w:val="0"/>
              <w:autoSpaceDE w:val="0"/>
              <w:autoSpaceDN w:val="0"/>
              <w:adjustRightInd w:val="0"/>
              <w:ind w:left="25"/>
              <w:rPr>
                <w:rFonts w:ascii="Tahoma" w:hAnsi="Tahoma" w:cs="Tahoma"/>
                <w:sz w:val="23"/>
                <w:szCs w:val="23"/>
                <w:lang w:val="sr-Latn-BA" w:eastAsia="sr-Latn-BA"/>
              </w:rPr>
            </w:pPr>
            <w:r w:rsidRPr="001707CF">
              <w:rPr>
                <w:rFonts w:ascii="Tahoma" w:hAnsi="Tahoma" w:cs="Tahoma"/>
                <w:b/>
                <w:bCs/>
                <w:sz w:val="23"/>
                <w:szCs w:val="23"/>
                <w:lang w:val="sr-Latn-BA" w:eastAsia="sr-Latn-BA"/>
              </w:rPr>
              <w:t>U</w:t>
            </w:r>
            <w:r w:rsidRPr="001707CF">
              <w:rPr>
                <w:rFonts w:ascii="Tahoma" w:hAnsi="Tahoma" w:cs="Tahoma"/>
                <w:b/>
                <w:bCs/>
                <w:spacing w:val="-3"/>
                <w:sz w:val="23"/>
                <w:szCs w:val="23"/>
                <w:lang w:val="sr-Latn-BA" w:eastAsia="sr-Latn-BA"/>
              </w:rPr>
              <w:t>k</w:t>
            </w:r>
            <w:r w:rsidRPr="001707CF">
              <w:rPr>
                <w:rFonts w:ascii="Tahoma" w:hAnsi="Tahoma" w:cs="Tahoma"/>
                <w:b/>
                <w:bCs/>
                <w:sz w:val="23"/>
                <w:szCs w:val="23"/>
                <w:lang w:val="sr-Latn-BA" w:eastAsia="sr-Latn-BA"/>
              </w:rPr>
              <w:t>upn</w:t>
            </w:r>
            <w:r w:rsidRPr="001707CF">
              <w:rPr>
                <w:rFonts w:ascii="Tahoma" w:hAnsi="Tahoma" w:cs="Tahoma"/>
                <w:b/>
                <w:bCs/>
                <w:spacing w:val="1"/>
                <w:sz w:val="23"/>
                <w:szCs w:val="23"/>
                <w:lang w:val="sr-Latn-BA" w:eastAsia="sr-Latn-BA"/>
              </w:rPr>
              <w:t>o</w:t>
            </w:r>
            <w:r w:rsidRPr="001707CF">
              <w:rPr>
                <w:rFonts w:ascii="Tahoma" w:hAnsi="Tahoma" w:cs="Tahoma"/>
                <w:b/>
                <w:bCs/>
                <w:sz w:val="23"/>
                <w:szCs w:val="23"/>
                <w:lang w:val="sr-Latn-BA" w:eastAsia="sr-Latn-BA"/>
              </w:rPr>
              <w:t>:</w:t>
            </w:r>
          </w:p>
        </w:tc>
        <w:tc>
          <w:tcPr>
            <w:tcW w:w="1804" w:type="dxa"/>
            <w:tcBorders>
              <w:top w:val="single" w:sz="4" w:space="0" w:color="auto"/>
              <w:bottom w:val="single" w:sz="4" w:space="0" w:color="auto"/>
            </w:tcBorders>
            <w:vAlign w:val="center"/>
          </w:tcPr>
          <w:p w14:paraId="7E3D6EAE" w14:textId="77777777" w:rsidR="00C165F8" w:rsidRPr="001707CF" w:rsidRDefault="00C165F8" w:rsidP="008558ED">
            <w:pPr>
              <w:widowControl w:val="0"/>
              <w:autoSpaceDE w:val="0"/>
              <w:autoSpaceDN w:val="0"/>
              <w:adjustRightInd w:val="0"/>
              <w:ind w:left="190" w:right="142"/>
              <w:jc w:val="right"/>
              <w:rPr>
                <w:rFonts w:ascii="Tahoma" w:hAnsi="Tahoma" w:cs="Tahoma"/>
                <w:b/>
                <w:bCs/>
                <w:sz w:val="23"/>
                <w:szCs w:val="23"/>
                <w:lang w:val="sr-Latn-BA" w:eastAsia="sr-Latn-BA"/>
              </w:rPr>
            </w:pPr>
            <w:r>
              <w:rPr>
                <w:rFonts w:ascii="Tahoma" w:hAnsi="Tahoma" w:cs="Tahoma"/>
                <w:b/>
                <w:bCs/>
                <w:sz w:val="23"/>
                <w:szCs w:val="23"/>
                <w:lang w:val="sr-Latn-BA" w:eastAsia="sr-Latn-BA"/>
              </w:rPr>
              <w:t>248.393</w:t>
            </w:r>
          </w:p>
        </w:tc>
        <w:tc>
          <w:tcPr>
            <w:tcW w:w="1804" w:type="dxa"/>
            <w:tcBorders>
              <w:top w:val="single" w:sz="4" w:space="0" w:color="auto"/>
              <w:bottom w:val="single" w:sz="4" w:space="0" w:color="auto"/>
            </w:tcBorders>
            <w:vAlign w:val="center"/>
          </w:tcPr>
          <w:p w14:paraId="15CC145B" w14:textId="77777777" w:rsidR="00C165F8" w:rsidRPr="001707CF" w:rsidRDefault="00C165F8" w:rsidP="008558ED">
            <w:pPr>
              <w:widowControl w:val="0"/>
              <w:autoSpaceDE w:val="0"/>
              <w:autoSpaceDN w:val="0"/>
              <w:adjustRightInd w:val="0"/>
              <w:ind w:left="190" w:right="142"/>
              <w:jc w:val="right"/>
              <w:rPr>
                <w:rFonts w:ascii="Tahoma" w:hAnsi="Tahoma" w:cs="Tahoma"/>
                <w:b/>
                <w:bCs/>
                <w:sz w:val="23"/>
                <w:szCs w:val="23"/>
                <w:lang w:val="sr-Latn-BA" w:eastAsia="sr-Latn-BA"/>
              </w:rPr>
            </w:pPr>
            <w:r w:rsidRPr="001707CF">
              <w:rPr>
                <w:rFonts w:ascii="Tahoma" w:hAnsi="Tahoma" w:cs="Tahoma"/>
                <w:b/>
                <w:bCs/>
                <w:sz w:val="23"/>
                <w:szCs w:val="23"/>
                <w:lang w:val="sr-Latn-BA" w:eastAsia="sr-Latn-BA"/>
              </w:rPr>
              <w:t>217.556</w:t>
            </w:r>
          </w:p>
        </w:tc>
      </w:tr>
    </w:tbl>
    <w:p w14:paraId="123C7703" w14:textId="77777777" w:rsidR="00C165F8" w:rsidRDefault="00C165F8" w:rsidP="00C165F8">
      <w:pPr>
        <w:tabs>
          <w:tab w:val="left" w:pos="2109"/>
          <w:tab w:val="left" w:pos="3591"/>
          <w:tab w:val="right" w:pos="8208"/>
        </w:tabs>
        <w:spacing w:after="120"/>
        <w:jc w:val="center"/>
        <w:rPr>
          <w:rFonts w:ascii="Tahoma" w:hAnsi="Tahoma" w:cs="Tahoma"/>
          <w:b/>
          <w:bCs/>
          <w:sz w:val="23"/>
          <w:szCs w:val="23"/>
          <w:lang w:val="sr-Latn-BA"/>
        </w:rPr>
      </w:pPr>
    </w:p>
    <w:p w14:paraId="34AE622B" w14:textId="77777777" w:rsidR="00C165F8" w:rsidRPr="001707CF" w:rsidRDefault="00C165F8" w:rsidP="00C165F8">
      <w:pPr>
        <w:tabs>
          <w:tab w:val="left" w:pos="2109"/>
          <w:tab w:val="left" w:pos="3591"/>
          <w:tab w:val="right" w:pos="8208"/>
        </w:tabs>
        <w:spacing w:after="120"/>
        <w:jc w:val="center"/>
        <w:rPr>
          <w:rFonts w:ascii="Tahoma" w:hAnsi="Tahoma" w:cs="Tahoma"/>
          <w:b/>
          <w:bCs/>
          <w:sz w:val="23"/>
          <w:szCs w:val="23"/>
          <w:lang w:val="sr-Latn-BA"/>
        </w:rPr>
      </w:pPr>
    </w:p>
    <w:p w14:paraId="20F8C851" w14:textId="77777777" w:rsidR="00C165F8" w:rsidRPr="001707CF" w:rsidRDefault="00C165F8" w:rsidP="00C165F8">
      <w:pPr>
        <w:numPr>
          <w:ilvl w:val="0"/>
          <w:numId w:val="22"/>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POSEBNI PODACI OBJAVLjENI U SKLADU SA ZAKONOM</w:t>
      </w:r>
    </w:p>
    <w:p w14:paraId="032983DA" w14:textId="77777777" w:rsidR="00C165F8" w:rsidRPr="001707CF" w:rsidRDefault="00C165F8" w:rsidP="00C165F8">
      <w:pPr>
        <w:autoSpaceDE w:val="0"/>
        <w:autoSpaceDN w:val="0"/>
        <w:adjustRightInd w:val="0"/>
        <w:spacing w:after="120"/>
        <w:jc w:val="both"/>
        <w:rPr>
          <w:rFonts w:ascii="Tahoma" w:hAnsi="Tahoma" w:cs="Tahoma"/>
          <w:bCs/>
          <w:sz w:val="23"/>
          <w:szCs w:val="23"/>
          <w:lang w:val="sr-Latn-BA"/>
        </w:rPr>
      </w:pPr>
      <w:r w:rsidRPr="001707CF">
        <w:rPr>
          <w:rFonts w:ascii="Tahoma" w:hAnsi="Tahoma" w:cs="Tahoma"/>
          <w:bCs/>
          <w:sz w:val="23"/>
          <w:szCs w:val="23"/>
          <w:lang w:val="sr-Latn-BA"/>
        </w:rPr>
        <w:t>U skladu sa članom 175. Zakona o investicionim fondovima (Službeni glasnik RS br. 92/2006, 82/2015, 94/2019 i 64/</w:t>
      </w:r>
      <w:r>
        <w:rPr>
          <w:rFonts w:ascii="Tahoma" w:hAnsi="Tahoma" w:cs="Tahoma"/>
          <w:bCs/>
          <w:sz w:val="23"/>
          <w:szCs w:val="23"/>
          <w:lang w:val="sr-Latn-BA"/>
        </w:rPr>
        <w:t>2024</w:t>
      </w:r>
      <w:r w:rsidRPr="001707CF">
        <w:rPr>
          <w:rFonts w:ascii="Tahoma" w:hAnsi="Tahoma" w:cs="Tahoma"/>
          <w:bCs/>
          <w:sz w:val="23"/>
          <w:szCs w:val="23"/>
          <w:lang w:val="sr-Latn-BA"/>
        </w:rPr>
        <w:t>), polugodišnji i revidirani godišnji izvještaji Fonda moraju sadržavati dodatne informacije, pored već objavljenih:</w:t>
      </w:r>
    </w:p>
    <w:p w14:paraId="6AB3ED0D" w14:textId="77777777" w:rsidR="00C165F8" w:rsidRPr="001707CF" w:rsidRDefault="00C165F8" w:rsidP="00C165F8">
      <w:pPr>
        <w:pStyle w:val="ListParagraph"/>
        <w:numPr>
          <w:ilvl w:val="0"/>
          <w:numId w:val="27"/>
        </w:numPr>
        <w:autoSpaceDE w:val="0"/>
        <w:autoSpaceDN w:val="0"/>
        <w:adjustRightInd w:val="0"/>
        <w:spacing w:after="120"/>
        <w:jc w:val="both"/>
        <w:rPr>
          <w:rFonts w:ascii="Tahoma" w:hAnsi="Tahoma" w:cs="Tahoma"/>
          <w:bCs/>
          <w:sz w:val="23"/>
          <w:szCs w:val="23"/>
          <w:lang w:val="sr-Latn-BA"/>
        </w:rPr>
      </w:pPr>
      <w:r w:rsidRPr="001707CF">
        <w:rPr>
          <w:rFonts w:ascii="Tahoma" w:hAnsi="Tahoma" w:cs="Tahoma"/>
          <w:bCs/>
          <w:sz w:val="23"/>
          <w:szCs w:val="23"/>
          <w:lang w:val="sr-Latn-BA"/>
        </w:rPr>
        <w:t>Pokazatelj ukupnih troškova za obračunski period;</w:t>
      </w:r>
    </w:p>
    <w:p w14:paraId="139A0809" w14:textId="77777777" w:rsidR="00C165F8" w:rsidRPr="001707CF" w:rsidRDefault="00C165F8" w:rsidP="00C165F8">
      <w:pPr>
        <w:pStyle w:val="ListParagraph"/>
        <w:numPr>
          <w:ilvl w:val="0"/>
          <w:numId w:val="27"/>
        </w:numPr>
        <w:autoSpaceDE w:val="0"/>
        <w:autoSpaceDN w:val="0"/>
        <w:adjustRightInd w:val="0"/>
        <w:spacing w:after="120"/>
        <w:jc w:val="both"/>
        <w:rPr>
          <w:rFonts w:ascii="Tahoma" w:hAnsi="Tahoma" w:cs="Tahoma"/>
          <w:bCs/>
          <w:sz w:val="23"/>
          <w:szCs w:val="23"/>
          <w:lang w:val="sr-Latn-BA"/>
        </w:rPr>
      </w:pPr>
      <w:r w:rsidRPr="001707CF">
        <w:rPr>
          <w:rFonts w:ascii="Tahoma" w:hAnsi="Tahoma" w:cs="Tahoma"/>
          <w:bCs/>
          <w:sz w:val="23"/>
          <w:szCs w:val="23"/>
          <w:lang w:val="sr-Latn-BA"/>
        </w:rPr>
        <w:t>Pregled transakcija sa berzanskim posrednicima;</w:t>
      </w:r>
    </w:p>
    <w:p w14:paraId="1732F280" w14:textId="77777777" w:rsidR="00C165F8" w:rsidRPr="001707CF" w:rsidRDefault="00C165F8" w:rsidP="00C165F8">
      <w:pPr>
        <w:pStyle w:val="ListParagraph"/>
        <w:numPr>
          <w:ilvl w:val="0"/>
          <w:numId w:val="27"/>
        </w:numPr>
        <w:autoSpaceDE w:val="0"/>
        <w:autoSpaceDN w:val="0"/>
        <w:adjustRightInd w:val="0"/>
        <w:spacing w:after="120"/>
        <w:jc w:val="both"/>
        <w:rPr>
          <w:rFonts w:ascii="Tahoma" w:hAnsi="Tahoma" w:cs="Tahoma"/>
          <w:bCs/>
          <w:sz w:val="23"/>
          <w:szCs w:val="23"/>
          <w:lang w:val="sr-Latn-BA"/>
        </w:rPr>
      </w:pPr>
      <w:r w:rsidRPr="001707CF">
        <w:rPr>
          <w:rFonts w:ascii="Tahoma" w:hAnsi="Tahoma" w:cs="Tahoma"/>
          <w:bCs/>
          <w:sz w:val="23"/>
          <w:szCs w:val="23"/>
          <w:lang w:val="sr-Latn-BA"/>
        </w:rPr>
        <w:t xml:space="preserve">Pregled kretanja vrijednosti imovine fonda; </w:t>
      </w:r>
    </w:p>
    <w:p w14:paraId="188DD8F1" w14:textId="77777777" w:rsidR="00C165F8" w:rsidRPr="001707CF" w:rsidRDefault="00C165F8" w:rsidP="00C165F8">
      <w:pPr>
        <w:pStyle w:val="ListParagraph"/>
        <w:numPr>
          <w:ilvl w:val="0"/>
          <w:numId w:val="27"/>
        </w:numPr>
        <w:autoSpaceDE w:val="0"/>
        <w:autoSpaceDN w:val="0"/>
        <w:adjustRightInd w:val="0"/>
        <w:spacing w:after="120"/>
        <w:jc w:val="both"/>
        <w:rPr>
          <w:rFonts w:ascii="Tahoma" w:hAnsi="Tahoma" w:cs="Tahoma"/>
          <w:bCs/>
          <w:sz w:val="23"/>
          <w:szCs w:val="23"/>
          <w:lang w:val="sr-Latn-BA"/>
        </w:rPr>
      </w:pPr>
      <w:r w:rsidRPr="001707CF">
        <w:rPr>
          <w:rFonts w:ascii="Tahoma" w:hAnsi="Tahoma" w:cs="Tahoma"/>
          <w:bCs/>
          <w:sz w:val="23"/>
          <w:szCs w:val="23"/>
          <w:lang w:val="sr-Latn-BA"/>
        </w:rPr>
        <w:t>Broj emitovanih udjela na početku i na kraju obračunskog perioda;</w:t>
      </w:r>
    </w:p>
    <w:p w14:paraId="14C8511F" w14:textId="77777777" w:rsidR="00C165F8" w:rsidRPr="001707CF" w:rsidRDefault="00C165F8" w:rsidP="00C165F8">
      <w:pPr>
        <w:pStyle w:val="ListParagraph"/>
        <w:numPr>
          <w:ilvl w:val="0"/>
          <w:numId w:val="27"/>
        </w:numPr>
        <w:autoSpaceDE w:val="0"/>
        <w:autoSpaceDN w:val="0"/>
        <w:adjustRightInd w:val="0"/>
        <w:spacing w:after="120"/>
        <w:jc w:val="both"/>
        <w:rPr>
          <w:rFonts w:ascii="Tahoma" w:hAnsi="Tahoma" w:cs="Tahoma"/>
          <w:bCs/>
          <w:sz w:val="23"/>
          <w:szCs w:val="23"/>
          <w:lang w:val="sr-Latn-BA"/>
        </w:rPr>
      </w:pPr>
      <w:r w:rsidRPr="001707CF">
        <w:rPr>
          <w:rFonts w:ascii="Tahoma" w:hAnsi="Tahoma" w:cs="Tahoma"/>
          <w:bCs/>
          <w:sz w:val="23"/>
          <w:szCs w:val="23"/>
          <w:lang w:val="sr-Latn-BA"/>
        </w:rPr>
        <w:t>Cijenu po udjelu na početku i na kraju obračunskog perioda;</w:t>
      </w:r>
    </w:p>
    <w:p w14:paraId="63DCD53F" w14:textId="77777777" w:rsidR="00C165F8" w:rsidRPr="001707CF" w:rsidRDefault="00C165F8" w:rsidP="00C165F8">
      <w:pPr>
        <w:pStyle w:val="ListParagraph"/>
        <w:numPr>
          <w:ilvl w:val="0"/>
          <w:numId w:val="27"/>
        </w:numPr>
        <w:autoSpaceDE w:val="0"/>
        <w:autoSpaceDN w:val="0"/>
        <w:adjustRightInd w:val="0"/>
        <w:spacing w:after="120"/>
        <w:jc w:val="both"/>
        <w:rPr>
          <w:rFonts w:ascii="Tahoma" w:hAnsi="Tahoma" w:cs="Tahoma"/>
          <w:bCs/>
          <w:sz w:val="23"/>
          <w:szCs w:val="23"/>
          <w:lang w:val="sr-Latn-BA"/>
        </w:rPr>
      </w:pPr>
      <w:r w:rsidRPr="001707CF">
        <w:rPr>
          <w:rFonts w:ascii="Tahoma" w:hAnsi="Tahoma" w:cs="Tahoma"/>
          <w:bCs/>
          <w:sz w:val="23"/>
          <w:szCs w:val="23"/>
          <w:lang w:val="sr-Latn-BA"/>
        </w:rPr>
        <w:t>Najvišu i najnižu vrijednost imovine fonda i cijenu po udjelu u fondu unutar istog obračunskog perioda za proteklih pet kalendarskih godina;</w:t>
      </w:r>
    </w:p>
    <w:p w14:paraId="29EDBA90" w14:textId="77777777" w:rsidR="00C165F8" w:rsidRPr="001707CF" w:rsidRDefault="00C165F8" w:rsidP="00C165F8">
      <w:pPr>
        <w:pStyle w:val="ListParagraph"/>
        <w:numPr>
          <w:ilvl w:val="0"/>
          <w:numId w:val="27"/>
        </w:numPr>
        <w:autoSpaceDE w:val="0"/>
        <w:autoSpaceDN w:val="0"/>
        <w:adjustRightInd w:val="0"/>
        <w:spacing w:after="120"/>
        <w:jc w:val="both"/>
        <w:rPr>
          <w:rFonts w:ascii="Tahoma" w:hAnsi="Tahoma" w:cs="Tahoma"/>
          <w:bCs/>
          <w:sz w:val="23"/>
          <w:szCs w:val="23"/>
          <w:lang w:val="sr-Latn-BA"/>
        </w:rPr>
      </w:pPr>
      <w:r w:rsidRPr="001707CF">
        <w:rPr>
          <w:rFonts w:ascii="Tahoma" w:hAnsi="Tahoma" w:cs="Tahoma"/>
          <w:bCs/>
          <w:sz w:val="23"/>
          <w:szCs w:val="23"/>
          <w:lang w:val="sr-Latn-BA"/>
        </w:rPr>
        <w:t>Izvještaj uprave sa obrazloženjem poslovnih rezultata fonda, promjena u portfelju i planirane strategije ulaganja u nastupajućem periodu;</w:t>
      </w:r>
    </w:p>
    <w:p w14:paraId="201AF6A3" w14:textId="77777777" w:rsidR="00C165F8" w:rsidRPr="001707CF" w:rsidRDefault="00C165F8" w:rsidP="00C165F8">
      <w:pPr>
        <w:pStyle w:val="ListParagraph"/>
        <w:numPr>
          <w:ilvl w:val="0"/>
          <w:numId w:val="27"/>
        </w:numPr>
        <w:autoSpaceDE w:val="0"/>
        <w:autoSpaceDN w:val="0"/>
        <w:adjustRightInd w:val="0"/>
        <w:spacing w:after="120"/>
        <w:jc w:val="both"/>
        <w:rPr>
          <w:rFonts w:ascii="Tahoma" w:hAnsi="Tahoma" w:cs="Tahoma"/>
          <w:bCs/>
          <w:sz w:val="23"/>
          <w:szCs w:val="23"/>
          <w:lang w:val="sr-Latn-BA"/>
        </w:rPr>
      </w:pPr>
      <w:r w:rsidRPr="001707CF">
        <w:rPr>
          <w:rFonts w:ascii="Tahoma" w:hAnsi="Tahoma" w:cs="Tahoma"/>
          <w:bCs/>
          <w:sz w:val="23"/>
          <w:szCs w:val="23"/>
          <w:lang w:val="sr-Latn-BA"/>
        </w:rPr>
        <w:t>Uporedni pregled poslovanja u protekle tri kalendarske godine.</w:t>
      </w:r>
    </w:p>
    <w:p w14:paraId="45749A44" w14:textId="77777777" w:rsidR="00C165F8" w:rsidRPr="001707CF" w:rsidRDefault="00C165F8" w:rsidP="00C165F8">
      <w:pPr>
        <w:pStyle w:val="ListParagraph"/>
        <w:autoSpaceDE w:val="0"/>
        <w:autoSpaceDN w:val="0"/>
        <w:adjustRightInd w:val="0"/>
        <w:spacing w:after="120"/>
        <w:jc w:val="both"/>
        <w:rPr>
          <w:rFonts w:ascii="Tahoma" w:hAnsi="Tahoma" w:cs="Tahoma"/>
          <w:bCs/>
          <w:sz w:val="23"/>
          <w:szCs w:val="23"/>
          <w:lang w:val="sr-Latn-BA"/>
        </w:rPr>
      </w:pPr>
    </w:p>
    <w:p w14:paraId="254EEE62" w14:textId="77777777" w:rsidR="00C165F8" w:rsidRPr="001707CF" w:rsidRDefault="00C165F8" w:rsidP="00C165F8">
      <w:pPr>
        <w:pStyle w:val="ListParagraph"/>
        <w:autoSpaceDE w:val="0"/>
        <w:autoSpaceDN w:val="0"/>
        <w:adjustRightInd w:val="0"/>
        <w:spacing w:after="120"/>
        <w:jc w:val="both"/>
        <w:rPr>
          <w:rFonts w:ascii="Tahoma" w:hAnsi="Tahoma" w:cs="Tahoma"/>
          <w:bCs/>
          <w:sz w:val="23"/>
          <w:szCs w:val="23"/>
          <w:lang w:val="sr-Latn-BA"/>
        </w:rPr>
      </w:pPr>
    </w:p>
    <w:p w14:paraId="601BEA9C" w14:textId="77777777" w:rsidR="00C165F8" w:rsidRPr="001707CF" w:rsidRDefault="00C165F8" w:rsidP="00C165F8">
      <w:pPr>
        <w:numPr>
          <w:ilvl w:val="0"/>
          <w:numId w:val="22"/>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POKAZATELj UKUPNIH TROŠKOVA</w:t>
      </w:r>
    </w:p>
    <w:p w14:paraId="2A0447AD" w14:textId="77777777" w:rsidR="00C165F8" w:rsidRPr="001707CF" w:rsidRDefault="00C165F8" w:rsidP="00C165F8">
      <w:pPr>
        <w:autoSpaceDE w:val="0"/>
        <w:autoSpaceDN w:val="0"/>
        <w:adjustRightInd w:val="0"/>
        <w:spacing w:after="120"/>
        <w:jc w:val="both"/>
        <w:rPr>
          <w:rFonts w:ascii="Tahoma" w:hAnsi="Tahoma" w:cs="Tahoma"/>
          <w:bCs/>
          <w:sz w:val="23"/>
          <w:szCs w:val="23"/>
          <w:lang w:val="sr-Latn-BA"/>
        </w:rPr>
      </w:pPr>
      <w:r w:rsidRPr="001707CF">
        <w:rPr>
          <w:rFonts w:ascii="Tahoma" w:hAnsi="Tahoma" w:cs="Tahoma"/>
          <w:bCs/>
          <w:sz w:val="23"/>
          <w:szCs w:val="23"/>
          <w:lang w:val="sr-Latn-BA"/>
        </w:rPr>
        <w:t>Članom 97 Zakona, propisana je formula za izračunavanje pokazatelja ukupnih troškova otvorenog investicionog fonda.</w:t>
      </w:r>
    </w:p>
    <w:p w14:paraId="013E8BFF" w14:textId="77777777" w:rsidR="00C165F8" w:rsidRPr="001707CF" w:rsidRDefault="00081B26" w:rsidP="00C165F8">
      <w:pPr>
        <w:autoSpaceDE w:val="0"/>
        <w:autoSpaceDN w:val="0"/>
        <w:adjustRightInd w:val="0"/>
        <w:spacing w:after="120"/>
        <w:jc w:val="both"/>
        <w:rPr>
          <w:rFonts w:ascii="Tahoma" w:hAnsi="Tahoma" w:cs="Tahoma"/>
          <w:bCs/>
          <w:i/>
          <w:sz w:val="23"/>
          <w:szCs w:val="23"/>
          <w:lang w:val="sr-Latn-BA"/>
        </w:rPr>
      </w:pPr>
      <m:oMathPara>
        <m:oMathParaPr>
          <m:jc m:val="center"/>
        </m:oMathParaPr>
        <m:oMath>
          <m:f>
            <m:fPr>
              <m:ctrlPr>
                <w:rPr>
                  <w:rFonts w:ascii="Cambria Math" w:hAnsi="Cambria Math" w:cs="Tahoma"/>
                  <w:bCs/>
                  <w:i/>
                  <w:sz w:val="23"/>
                  <w:szCs w:val="23"/>
                  <w:lang w:val="sr-Latn-BA"/>
                </w:rPr>
              </m:ctrlPr>
            </m:fPr>
            <m:num>
              <m:eqArr>
                <m:eqArrPr>
                  <m:ctrlPr>
                    <w:rPr>
                      <w:rFonts w:ascii="Cambria Math" w:hAnsi="Cambria Math" w:cs="Tahoma"/>
                      <w:bCs/>
                      <w:i/>
                      <w:sz w:val="23"/>
                      <w:szCs w:val="23"/>
                      <w:lang w:val="sr-Latn-BA"/>
                    </w:rPr>
                  </m:ctrlPr>
                </m:eqArrPr>
                <m:e>
                  <m:r>
                    <w:rPr>
                      <w:rFonts w:ascii="Cambria Math" w:hAnsi="Cambria Math" w:cs="Tahoma"/>
                      <w:sz w:val="23"/>
                      <w:szCs w:val="23"/>
                      <w:lang w:val="sr-Latn-BA"/>
                    </w:rPr>
                    <m:t xml:space="preserve">Ukupna naknada za upravljanje+ukupni iznos </m:t>
                  </m:r>
                </m:e>
                <m:e>
                  <m:r>
                    <w:rPr>
                      <w:rFonts w:ascii="Cambria Math" w:hAnsi="Cambria Math" w:cs="Tahoma"/>
                      <w:sz w:val="23"/>
                      <w:szCs w:val="23"/>
                      <w:lang w:val="sr-Latn-BA"/>
                    </w:rPr>
                    <m:t>svih ostalih troškova iz člana 94. zakona,</m:t>
                  </m:r>
                  <m:ctrlPr>
                    <w:rPr>
                      <w:rFonts w:ascii="Cambria Math" w:eastAsia="Cambria Math" w:hAnsi="Cambria Math" w:cs="Cambria Math"/>
                      <w:bCs/>
                      <w:i/>
                      <w:sz w:val="23"/>
                      <w:szCs w:val="23"/>
                    </w:rPr>
                  </m:ctrlPr>
                </m:e>
                <m:e>
                  <m:r>
                    <w:rPr>
                      <w:rFonts w:ascii="Cambria Math" w:eastAsia="Cambria Math" w:hAnsi="Cambria Math" w:cs="Cambria Math"/>
                      <w:sz w:val="23"/>
                      <w:szCs w:val="23"/>
                    </w:rPr>
                    <m:t xml:space="preserve">osim troškova u vezi sa sticanjem i prodajom imovine </m:t>
                  </m:r>
                  <m:ctrlPr>
                    <w:rPr>
                      <w:rFonts w:ascii="Cambria Math" w:eastAsia="Cambria Math" w:hAnsi="Cambria Math" w:cs="Cambria Math"/>
                      <w:bCs/>
                      <w:i/>
                      <w:sz w:val="23"/>
                      <w:szCs w:val="23"/>
                    </w:rPr>
                  </m:ctrlPr>
                </m:e>
                <m:e>
                  <m:r>
                    <w:rPr>
                      <w:rFonts w:ascii="Cambria Math" w:eastAsia="Cambria Math" w:hAnsi="Cambria Math" w:cs="Cambria Math"/>
                      <w:sz w:val="23"/>
                      <w:szCs w:val="23"/>
                    </w:rPr>
                    <m:t>i troškova poreza na imovinu ili dobit</m:t>
                  </m:r>
                </m:e>
              </m:eqArr>
            </m:num>
            <m:den>
              <m:r>
                <w:rPr>
                  <w:rFonts w:ascii="Cambria Math" w:hAnsi="Cambria Math" w:cs="Tahoma"/>
                  <w:sz w:val="23"/>
                  <w:szCs w:val="23"/>
                  <w:lang w:val="sr-Latn-BA"/>
                </w:rPr>
                <m:t>Prosječna godišnja neto vrijednost imovine</m:t>
              </m:r>
            </m:den>
          </m:f>
          <m:r>
            <w:rPr>
              <w:rFonts w:ascii="Cambria Math" w:hAnsi="Cambria Math" w:cs="Tahoma"/>
              <w:sz w:val="23"/>
              <w:szCs w:val="23"/>
              <w:lang w:val="sr-Latn-BA"/>
            </w:rPr>
            <m:t xml:space="preserve">×100 </m:t>
          </m:r>
        </m:oMath>
      </m:oMathPara>
    </w:p>
    <w:p w14:paraId="578D6870" w14:textId="77777777" w:rsidR="00C165F8" w:rsidRPr="001707CF" w:rsidRDefault="00C165F8" w:rsidP="00C165F8">
      <w:pPr>
        <w:autoSpaceDE w:val="0"/>
        <w:autoSpaceDN w:val="0"/>
        <w:adjustRightInd w:val="0"/>
        <w:spacing w:after="120"/>
        <w:jc w:val="both"/>
        <w:rPr>
          <w:rFonts w:ascii="Tahoma" w:hAnsi="Tahoma" w:cs="Tahoma"/>
          <w:bCs/>
          <w:sz w:val="23"/>
          <w:szCs w:val="23"/>
          <w:lang w:val="sr-Latn-BA"/>
        </w:rPr>
      </w:pPr>
    </w:p>
    <w:p w14:paraId="66EC705F" w14:textId="77777777" w:rsidR="00C165F8" w:rsidRPr="001707CF" w:rsidRDefault="00081B26" w:rsidP="00C165F8">
      <w:pPr>
        <w:autoSpaceDE w:val="0"/>
        <w:autoSpaceDN w:val="0"/>
        <w:adjustRightInd w:val="0"/>
        <w:spacing w:after="120"/>
        <w:jc w:val="both"/>
        <w:rPr>
          <w:rFonts w:ascii="Tahoma" w:hAnsi="Tahoma" w:cs="Tahoma"/>
          <w:bCs/>
          <w:sz w:val="23"/>
          <w:szCs w:val="23"/>
          <w:lang w:val="sr-Cyrl-BA"/>
        </w:rPr>
      </w:pPr>
      <m:oMathPara>
        <m:oMath>
          <m:f>
            <m:fPr>
              <m:ctrlPr>
                <w:rPr>
                  <w:rFonts w:ascii="Cambria Math" w:hAnsi="Cambria Math" w:cs="Tahoma"/>
                  <w:bCs/>
                  <w:i/>
                  <w:sz w:val="23"/>
                  <w:szCs w:val="23"/>
                  <w:lang w:val="sr-Latn-BA"/>
                </w:rPr>
              </m:ctrlPr>
            </m:fPr>
            <m:num>
              <m:r>
                <w:rPr>
                  <w:rFonts w:ascii="Cambria Math" w:hAnsi="Cambria Math" w:cs="Tahoma"/>
                  <w:sz w:val="23"/>
                  <w:szCs w:val="23"/>
                  <w:lang w:val="sr-Latn-BA"/>
                </w:rPr>
                <m:t>228.107</m:t>
              </m:r>
            </m:num>
            <m:den>
              <m:r>
                <w:rPr>
                  <w:rFonts w:ascii="Cambria Math" w:hAnsi="Cambria Math" w:cs="Tahoma"/>
                  <w:sz w:val="23"/>
                  <w:szCs w:val="23"/>
                  <w:lang w:val="sr-Latn-BA"/>
                </w:rPr>
                <m:t>6.521.329</m:t>
              </m:r>
            </m:den>
          </m:f>
          <m:r>
            <w:rPr>
              <w:rFonts w:ascii="Cambria Math" w:hAnsi="Cambria Math" w:cs="Tahoma"/>
              <w:sz w:val="23"/>
              <w:szCs w:val="23"/>
              <w:lang w:val="sr-Latn-BA"/>
            </w:rPr>
            <m:t>×100</m:t>
          </m:r>
        </m:oMath>
      </m:oMathPara>
    </w:p>
    <w:p w14:paraId="179FD018" w14:textId="77777777" w:rsidR="00C165F8" w:rsidRPr="001707CF" w:rsidRDefault="00C165F8" w:rsidP="00C165F8">
      <w:pPr>
        <w:autoSpaceDE w:val="0"/>
        <w:autoSpaceDN w:val="0"/>
        <w:adjustRightInd w:val="0"/>
        <w:spacing w:after="120"/>
        <w:rPr>
          <w:rFonts w:ascii="Tahoma" w:hAnsi="Tahoma" w:cs="Tahoma"/>
          <w:bCs/>
          <w:sz w:val="23"/>
          <w:szCs w:val="23"/>
          <w:lang w:val="sr-Latn-BA"/>
        </w:rPr>
      </w:pPr>
      <w:r w:rsidRPr="001707CF">
        <w:rPr>
          <w:rFonts w:ascii="Tahoma" w:hAnsi="Tahoma" w:cs="Tahoma"/>
          <w:bCs/>
          <w:sz w:val="23"/>
          <w:szCs w:val="23"/>
          <w:lang w:val="sr-Latn-BA"/>
        </w:rPr>
        <w:t xml:space="preserve">Pokazatelj ukupnih troškova za </w:t>
      </w:r>
      <w:r>
        <w:rPr>
          <w:rFonts w:ascii="Tahoma" w:hAnsi="Tahoma" w:cs="Tahoma"/>
          <w:bCs/>
          <w:sz w:val="23"/>
          <w:szCs w:val="23"/>
          <w:lang w:val="sr-Latn-BA"/>
        </w:rPr>
        <w:t>2024</w:t>
      </w:r>
      <w:r w:rsidRPr="001707CF">
        <w:rPr>
          <w:rFonts w:ascii="Tahoma" w:hAnsi="Tahoma" w:cs="Tahoma"/>
          <w:bCs/>
          <w:sz w:val="23"/>
          <w:szCs w:val="23"/>
          <w:lang w:val="sr-Latn-BA"/>
        </w:rPr>
        <w:t>. godinu iznosi</w:t>
      </w:r>
      <w:r>
        <w:rPr>
          <w:rFonts w:ascii="Tahoma" w:hAnsi="Tahoma" w:cs="Tahoma"/>
          <w:bCs/>
          <w:sz w:val="23"/>
          <w:szCs w:val="23"/>
          <w:lang w:val="sr-Latn-BA"/>
        </w:rPr>
        <w:t xml:space="preserve"> </w:t>
      </w:r>
      <w:r w:rsidRPr="001044C3">
        <w:rPr>
          <w:rFonts w:ascii="Tahoma" w:hAnsi="Tahoma" w:cs="Tahoma"/>
          <w:bCs/>
          <w:sz w:val="23"/>
          <w:szCs w:val="23"/>
          <w:lang w:val="sr-Latn-BA"/>
        </w:rPr>
        <w:t xml:space="preserve">3,49% </w:t>
      </w:r>
      <w:r w:rsidRPr="001707CF">
        <w:rPr>
          <w:rFonts w:ascii="Tahoma" w:hAnsi="Tahoma" w:cs="Tahoma"/>
          <w:bCs/>
          <w:sz w:val="23"/>
          <w:szCs w:val="23"/>
          <w:lang w:val="sr-Latn-BA"/>
        </w:rPr>
        <w:t>(</w:t>
      </w:r>
      <w:r>
        <w:rPr>
          <w:rFonts w:ascii="Tahoma" w:hAnsi="Tahoma" w:cs="Tahoma"/>
          <w:bCs/>
          <w:sz w:val="23"/>
          <w:szCs w:val="23"/>
          <w:lang w:val="sr-Latn-BA"/>
        </w:rPr>
        <w:t>2023</w:t>
      </w:r>
      <w:r w:rsidRPr="001707CF">
        <w:rPr>
          <w:rFonts w:ascii="Tahoma" w:hAnsi="Tahoma" w:cs="Tahoma"/>
          <w:bCs/>
          <w:sz w:val="23"/>
          <w:szCs w:val="23"/>
          <w:lang w:val="sr-Latn-BA"/>
        </w:rPr>
        <w:t>. godine 3,47%).</w:t>
      </w:r>
    </w:p>
    <w:p w14:paraId="68FEEB8D" w14:textId="77777777" w:rsidR="00C165F8" w:rsidRPr="001707CF" w:rsidRDefault="00C165F8" w:rsidP="00C165F8">
      <w:pPr>
        <w:autoSpaceDE w:val="0"/>
        <w:autoSpaceDN w:val="0"/>
        <w:adjustRightInd w:val="0"/>
        <w:spacing w:after="120"/>
        <w:rPr>
          <w:rFonts w:ascii="Tahoma" w:hAnsi="Tahoma" w:cs="Tahoma"/>
          <w:bCs/>
          <w:sz w:val="23"/>
          <w:szCs w:val="23"/>
          <w:lang w:val="sr-Latn-BA"/>
        </w:rPr>
      </w:pPr>
    </w:p>
    <w:p w14:paraId="169F8154" w14:textId="77777777" w:rsidR="00C165F8" w:rsidRPr="001707CF" w:rsidRDefault="00C165F8" w:rsidP="00C165F8">
      <w:pPr>
        <w:numPr>
          <w:ilvl w:val="0"/>
          <w:numId w:val="22"/>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BERZANSKI POSREDNICI</w:t>
      </w:r>
    </w:p>
    <w:p w14:paraId="003125B9" w14:textId="77777777" w:rsidR="00C165F8" w:rsidRPr="001707CF" w:rsidRDefault="00C165F8" w:rsidP="00C165F8">
      <w:pPr>
        <w:spacing w:after="120"/>
        <w:jc w:val="both"/>
        <w:rPr>
          <w:rFonts w:ascii="Tahoma" w:hAnsi="Tahoma" w:cs="Tahoma"/>
          <w:sz w:val="23"/>
          <w:szCs w:val="23"/>
          <w:lang w:val="sr-Latn-BA"/>
        </w:rPr>
      </w:pPr>
      <w:r w:rsidRPr="001707CF">
        <w:rPr>
          <w:rFonts w:ascii="Tahoma" w:hAnsi="Tahoma" w:cs="Tahoma"/>
          <w:sz w:val="23"/>
          <w:szCs w:val="23"/>
          <w:lang w:val="sr-Latn-BA"/>
        </w:rPr>
        <w:t>U izvještajnom periodu Fond ostvario transakcije sa sljedećim posrednicima i iznosima:</w:t>
      </w:r>
    </w:p>
    <w:tbl>
      <w:tblPr>
        <w:tblW w:w="9460" w:type="dxa"/>
        <w:jc w:val="center"/>
        <w:tblLook w:val="04A0" w:firstRow="1" w:lastRow="0" w:firstColumn="1" w:lastColumn="0" w:noHBand="0" w:noVBand="1"/>
      </w:tblPr>
      <w:tblGrid>
        <w:gridCol w:w="3020"/>
        <w:gridCol w:w="1472"/>
        <w:gridCol w:w="1568"/>
        <w:gridCol w:w="1255"/>
        <w:gridCol w:w="2145"/>
      </w:tblGrid>
      <w:tr w:rsidR="00C165F8" w:rsidRPr="001707CF" w14:paraId="4F5EEFF6" w14:textId="77777777" w:rsidTr="008558ED">
        <w:trPr>
          <w:trHeight w:val="630"/>
          <w:jc w:val="center"/>
        </w:trPr>
        <w:tc>
          <w:tcPr>
            <w:tcW w:w="3020" w:type="dxa"/>
            <w:vMerge w:val="restart"/>
            <w:tcBorders>
              <w:top w:val="single" w:sz="4" w:space="0" w:color="auto"/>
              <w:left w:val="nil"/>
              <w:bottom w:val="single" w:sz="4" w:space="0" w:color="000000"/>
              <w:right w:val="nil"/>
            </w:tcBorders>
            <w:shd w:val="clear" w:color="auto" w:fill="auto"/>
            <w:vAlign w:val="center"/>
            <w:hideMark/>
          </w:tcPr>
          <w:p w14:paraId="7880D224" w14:textId="77777777" w:rsidR="00C165F8" w:rsidRPr="001707CF" w:rsidRDefault="00C165F8" w:rsidP="008558ED">
            <w:pPr>
              <w:jc w:val="center"/>
              <w:rPr>
                <w:rFonts w:ascii="Tahoma" w:hAnsi="Tahoma" w:cs="Tahoma"/>
                <w:i/>
                <w:iCs/>
                <w:sz w:val="23"/>
                <w:szCs w:val="23"/>
                <w:lang w:val="sr-Latn-BA" w:eastAsia="sr-Latn-BA"/>
              </w:rPr>
            </w:pPr>
            <w:proofErr w:type="spellStart"/>
            <w:r w:rsidRPr="001707CF">
              <w:rPr>
                <w:rFonts w:ascii="Tahoma" w:hAnsi="Tahoma" w:cs="Tahoma"/>
                <w:i/>
                <w:iCs/>
                <w:sz w:val="23"/>
                <w:szCs w:val="23"/>
              </w:rPr>
              <w:t>Naziv</w:t>
            </w:r>
            <w:proofErr w:type="spellEnd"/>
            <w:r w:rsidRPr="001707CF">
              <w:rPr>
                <w:rFonts w:ascii="Tahoma" w:hAnsi="Tahoma" w:cs="Tahoma"/>
                <w:i/>
                <w:iCs/>
                <w:sz w:val="23"/>
                <w:szCs w:val="23"/>
              </w:rPr>
              <w:t xml:space="preserve"> </w:t>
            </w:r>
            <w:proofErr w:type="spellStart"/>
            <w:r w:rsidRPr="001707CF">
              <w:rPr>
                <w:rFonts w:ascii="Tahoma" w:hAnsi="Tahoma" w:cs="Tahoma"/>
                <w:i/>
                <w:iCs/>
                <w:sz w:val="23"/>
                <w:szCs w:val="23"/>
              </w:rPr>
              <w:t>berzanskog</w:t>
            </w:r>
            <w:proofErr w:type="spellEnd"/>
            <w:r w:rsidRPr="001707CF">
              <w:rPr>
                <w:rFonts w:ascii="Tahoma" w:hAnsi="Tahoma" w:cs="Tahoma"/>
                <w:i/>
                <w:iCs/>
                <w:sz w:val="23"/>
                <w:szCs w:val="23"/>
              </w:rPr>
              <w:t xml:space="preserve"> </w:t>
            </w:r>
            <w:proofErr w:type="spellStart"/>
            <w:r w:rsidRPr="001707CF">
              <w:rPr>
                <w:rFonts w:ascii="Tahoma" w:hAnsi="Tahoma" w:cs="Tahoma"/>
                <w:i/>
                <w:iCs/>
                <w:sz w:val="23"/>
                <w:szCs w:val="23"/>
              </w:rPr>
              <w:t>posrednika</w:t>
            </w:r>
            <w:proofErr w:type="spellEnd"/>
          </w:p>
        </w:tc>
        <w:tc>
          <w:tcPr>
            <w:tcW w:w="3040" w:type="dxa"/>
            <w:gridSpan w:val="2"/>
            <w:tcBorders>
              <w:top w:val="single" w:sz="4" w:space="0" w:color="auto"/>
              <w:left w:val="nil"/>
              <w:bottom w:val="nil"/>
              <w:right w:val="nil"/>
            </w:tcBorders>
            <w:shd w:val="clear" w:color="auto" w:fill="auto"/>
            <w:vAlign w:val="center"/>
            <w:hideMark/>
          </w:tcPr>
          <w:p w14:paraId="010AA82B" w14:textId="77777777" w:rsidR="00C165F8" w:rsidRPr="001707CF" w:rsidRDefault="00C165F8" w:rsidP="008558ED">
            <w:pPr>
              <w:jc w:val="center"/>
              <w:rPr>
                <w:rFonts w:ascii="Tahoma" w:hAnsi="Tahoma" w:cs="Tahoma"/>
                <w:i/>
                <w:iCs/>
                <w:sz w:val="23"/>
                <w:szCs w:val="23"/>
              </w:rPr>
            </w:pPr>
            <w:proofErr w:type="spellStart"/>
            <w:r w:rsidRPr="001707CF">
              <w:rPr>
                <w:rFonts w:ascii="Tahoma" w:hAnsi="Tahoma" w:cs="Tahoma"/>
                <w:i/>
                <w:iCs/>
                <w:sz w:val="23"/>
                <w:szCs w:val="23"/>
              </w:rPr>
              <w:t>Vrijednost</w:t>
            </w:r>
            <w:proofErr w:type="spellEnd"/>
            <w:r w:rsidRPr="001707CF">
              <w:rPr>
                <w:rFonts w:ascii="Tahoma" w:hAnsi="Tahoma" w:cs="Tahoma"/>
                <w:i/>
                <w:iCs/>
                <w:sz w:val="23"/>
                <w:szCs w:val="23"/>
              </w:rPr>
              <w:t xml:space="preserve"> </w:t>
            </w:r>
            <w:proofErr w:type="spellStart"/>
            <w:r w:rsidRPr="001707CF">
              <w:rPr>
                <w:rFonts w:ascii="Tahoma" w:hAnsi="Tahoma" w:cs="Tahoma"/>
                <w:i/>
                <w:iCs/>
                <w:sz w:val="23"/>
                <w:szCs w:val="23"/>
              </w:rPr>
              <w:t>transakcija</w:t>
            </w:r>
            <w:proofErr w:type="spellEnd"/>
            <w:r w:rsidRPr="001707CF">
              <w:rPr>
                <w:rFonts w:ascii="Tahoma" w:hAnsi="Tahoma" w:cs="Tahoma"/>
                <w:i/>
                <w:iCs/>
                <w:sz w:val="23"/>
                <w:szCs w:val="23"/>
              </w:rPr>
              <w:br/>
              <w:t xml:space="preserve"> 01.01.-31.12.</w:t>
            </w:r>
            <w:r>
              <w:rPr>
                <w:rFonts w:ascii="Tahoma" w:hAnsi="Tahoma" w:cs="Tahoma"/>
                <w:i/>
                <w:iCs/>
                <w:sz w:val="23"/>
                <w:szCs w:val="23"/>
              </w:rPr>
              <w:t>2023</w:t>
            </w:r>
            <w:r w:rsidRPr="001707CF">
              <w:rPr>
                <w:rFonts w:ascii="Tahoma" w:hAnsi="Tahoma" w:cs="Tahoma"/>
                <w:i/>
                <w:iCs/>
                <w:sz w:val="23"/>
                <w:szCs w:val="23"/>
              </w:rPr>
              <w:t>.</w:t>
            </w:r>
          </w:p>
        </w:tc>
        <w:tc>
          <w:tcPr>
            <w:tcW w:w="3400" w:type="dxa"/>
            <w:gridSpan w:val="2"/>
            <w:tcBorders>
              <w:top w:val="single" w:sz="4" w:space="0" w:color="auto"/>
              <w:left w:val="nil"/>
              <w:bottom w:val="nil"/>
              <w:right w:val="nil"/>
            </w:tcBorders>
            <w:shd w:val="clear" w:color="auto" w:fill="auto"/>
            <w:vAlign w:val="center"/>
            <w:hideMark/>
          </w:tcPr>
          <w:p w14:paraId="10E22981" w14:textId="77777777" w:rsidR="00C165F8" w:rsidRPr="001707CF" w:rsidRDefault="00C165F8" w:rsidP="008558ED">
            <w:pPr>
              <w:jc w:val="center"/>
              <w:rPr>
                <w:rFonts w:ascii="Tahoma" w:hAnsi="Tahoma" w:cs="Tahoma"/>
                <w:i/>
                <w:iCs/>
                <w:sz w:val="23"/>
                <w:szCs w:val="23"/>
              </w:rPr>
            </w:pPr>
            <w:proofErr w:type="spellStart"/>
            <w:r w:rsidRPr="001707CF">
              <w:rPr>
                <w:rFonts w:ascii="Tahoma" w:hAnsi="Tahoma" w:cs="Tahoma"/>
                <w:i/>
                <w:iCs/>
                <w:sz w:val="23"/>
                <w:szCs w:val="23"/>
              </w:rPr>
              <w:t>Plaćena</w:t>
            </w:r>
            <w:proofErr w:type="spellEnd"/>
            <w:r w:rsidRPr="001707CF">
              <w:rPr>
                <w:rFonts w:ascii="Tahoma" w:hAnsi="Tahoma" w:cs="Tahoma"/>
                <w:i/>
                <w:iCs/>
                <w:sz w:val="23"/>
                <w:szCs w:val="23"/>
              </w:rPr>
              <w:t xml:space="preserve"> </w:t>
            </w:r>
            <w:proofErr w:type="spellStart"/>
            <w:r w:rsidRPr="001707CF">
              <w:rPr>
                <w:rFonts w:ascii="Tahoma" w:hAnsi="Tahoma" w:cs="Tahoma"/>
                <w:i/>
                <w:iCs/>
                <w:sz w:val="23"/>
                <w:szCs w:val="23"/>
              </w:rPr>
              <w:t>provizija</w:t>
            </w:r>
            <w:proofErr w:type="spellEnd"/>
            <w:r w:rsidRPr="001707CF">
              <w:rPr>
                <w:rFonts w:ascii="Tahoma" w:hAnsi="Tahoma" w:cs="Tahoma"/>
                <w:i/>
                <w:iCs/>
                <w:sz w:val="23"/>
                <w:szCs w:val="23"/>
              </w:rPr>
              <w:t xml:space="preserve"> </w:t>
            </w:r>
            <w:r w:rsidRPr="001707CF">
              <w:rPr>
                <w:rFonts w:ascii="Tahoma" w:hAnsi="Tahoma" w:cs="Tahoma"/>
                <w:i/>
                <w:iCs/>
                <w:sz w:val="23"/>
                <w:szCs w:val="23"/>
              </w:rPr>
              <w:br/>
              <w:t>01.01.-31.12.</w:t>
            </w:r>
            <w:r>
              <w:rPr>
                <w:rFonts w:ascii="Tahoma" w:hAnsi="Tahoma" w:cs="Tahoma"/>
                <w:i/>
                <w:iCs/>
                <w:sz w:val="23"/>
                <w:szCs w:val="23"/>
              </w:rPr>
              <w:t>2023</w:t>
            </w:r>
            <w:r w:rsidRPr="001707CF">
              <w:rPr>
                <w:rFonts w:ascii="Tahoma" w:hAnsi="Tahoma" w:cs="Tahoma"/>
                <w:i/>
                <w:iCs/>
                <w:sz w:val="23"/>
                <w:szCs w:val="23"/>
              </w:rPr>
              <w:t>.</w:t>
            </w:r>
          </w:p>
        </w:tc>
      </w:tr>
      <w:tr w:rsidR="00C165F8" w:rsidRPr="001707CF" w14:paraId="6F99B50B" w14:textId="77777777" w:rsidTr="008558ED">
        <w:trPr>
          <w:trHeight w:val="750"/>
          <w:jc w:val="center"/>
        </w:trPr>
        <w:tc>
          <w:tcPr>
            <w:tcW w:w="3020" w:type="dxa"/>
            <w:vMerge/>
            <w:tcBorders>
              <w:top w:val="single" w:sz="4" w:space="0" w:color="auto"/>
              <w:left w:val="nil"/>
              <w:bottom w:val="single" w:sz="4" w:space="0" w:color="000000"/>
              <w:right w:val="nil"/>
            </w:tcBorders>
            <w:vAlign w:val="center"/>
            <w:hideMark/>
          </w:tcPr>
          <w:p w14:paraId="08289B42" w14:textId="77777777" w:rsidR="00C165F8" w:rsidRPr="001707CF" w:rsidRDefault="00C165F8" w:rsidP="008558ED">
            <w:pPr>
              <w:rPr>
                <w:rFonts w:ascii="Tahoma" w:hAnsi="Tahoma" w:cs="Tahoma"/>
                <w:i/>
                <w:iCs/>
                <w:sz w:val="23"/>
                <w:szCs w:val="23"/>
              </w:rPr>
            </w:pPr>
          </w:p>
        </w:tc>
        <w:tc>
          <w:tcPr>
            <w:tcW w:w="1472" w:type="dxa"/>
            <w:tcBorders>
              <w:top w:val="nil"/>
              <w:left w:val="nil"/>
              <w:bottom w:val="single" w:sz="4" w:space="0" w:color="auto"/>
              <w:right w:val="nil"/>
            </w:tcBorders>
            <w:shd w:val="clear" w:color="auto" w:fill="auto"/>
            <w:noWrap/>
            <w:vAlign w:val="center"/>
            <w:hideMark/>
          </w:tcPr>
          <w:p w14:paraId="18D8D78B" w14:textId="77777777" w:rsidR="00C165F8" w:rsidRPr="001707CF" w:rsidRDefault="00C165F8" w:rsidP="008558ED">
            <w:pPr>
              <w:jc w:val="center"/>
              <w:rPr>
                <w:rFonts w:ascii="Tahoma" w:hAnsi="Tahoma" w:cs="Tahoma"/>
                <w:i/>
                <w:iCs/>
                <w:sz w:val="23"/>
                <w:szCs w:val="23"/>
              </w:rPr>
            </w:pPr>
            <w:r w:rsidRPr="001707CF">
              <w:rPr>
                <w:rFonts w:ascii="Tahoma" w:hAnsi="Tahoma" w:cs="Tahoma"/>
                <w:i/>
                <w:iCs/>
                <w:sz w:val="23"/>
                <w:szCs w:val="23"/>
              </w:rPr>
              <w:t>Iznos u KM</w:t>
            </w:r>
          </w:p>
        </w:tc>
        <w:tc>
          <w:tcPr>
            <w:tcW w:w="1568" w:type="dxa"/>
            <w:tcBorders>
              <w:top w:val="nil"/>
              <w:left w:val="nil"/>
              <w:bottom w:val="single" w:sz="4" w:space="0" w:color="auto"/>
              <w:right w:val="nil"/>
            </w:tcBorders>
            <w:shd w:val="clear" w:color="auto" w:fill="auto"/>
            <w:noWrap/>
            <w:vAlign w:val="center"/>
            <w:hideMark/>
          </w:tcPr>
          <w:p w14:paraId="51D1BB8C" w14:textId="77777777" w:rsidR="00C165F8" w:rsidRPr="001707CF" w:rsidRDefault="00C165F8" w:rsidP="008558ED">
            <w:pPr>
              <w:jc w:val="center"/>
              <w:rPr>
                <w:rFonts w:ascii="Tahoma" w:hAnsi="Tahoma" w:cs="Tahoma"/>
                <w:i/>
                <w:iCs/>
                <w:sz w:val="23"/>
                <w:szCs w:val="23"/>
              </w:rPr>
            </w:pPr>
            <w:proofErr w:type="spellStart"/>
            <w:r w:rsidRPr="001707CF">
              <w:rPr>
                <w:rFonts w:ascii="Tahoma" w:hAnsi="Tahoma" w:cs="Tahoma"/>
                <w:i/>
                <w:iCs/>
                <w:sz w:val="23"/>
                <w:szCs w:val="23"/>
              </w:rPr>
              <w:t>Učešće</w:t>
            </w:r>
            <w:proofErr w:type="spellEnd"/>
            <w:r w:rsidRPr="001707CF">
              <w:rPr>
                <w:rFonts w:ascii="Tahoma" w:hAnsi="Tahoma" w:cs="Tahoma"/>
                <w:i/>
                <w:iCs/>
                <w:sz w:val="23"/>
                <w:szCs w:val="23"/>
              </w:rPr>
              <w:t xml:space="preserve"> u %</w:t>
            </w:r>
          </w:p>
        </w:tc>
        <w:tc>
          <w:tcPr>
            <w:tcW w:w="1255" w:type="dxa"/>
            <w:tcBorders>
              <w:top w:val="nil"/>
              <w:left w:val="nil"/>
              <w:bottom w:val="single" w:sz="4" w:space="0" w:color="auto"/>
              <w:right w:val="nil"/>
            </w:tcBorders>
            <w:shd w:val="clear" w:color="auto" w:fill="auto"/>
            <w:noWrap/>
            <w:vAlign w:val="center"/>
            <w:hideMark/>
          </w:tcPr>
          <w:p w14:paraId="7614D1B5" w14:textId="77777777" w:rsidR="00C165F8" w:rsidRPr="001707CF" w:rsidRDefault="00C165F8" w:rsidP="008558ED">
            <w:pPr>
              <w:jc w:val="center"/>
              <w:rPr>
                <w:rFonts w:ascii="Tahoma" w:hAnsi="Tahoma" w:cs="Tahoma"/>
                <w:i/>
                <w:iCs/>
                <w:sz w:val="23"/>
                <w:szCs w:val="23"/>
              </w:rPr>
            </w:pPr>
            <w:r w:rsidRPr="001707CF">
              <w:rPr>
                <w:rFonts w:ascii="Tahoma" w:hAnsi="Tahoma" w:cs="Tahoma"/>
                <w:i/>
                <w:iCs/>
                <w:sz w:val="23"/>
                <w:szCs w:val="23"/>
              </w:rPr>
              <w:t>Iznos u KM</w:t>
            </w:r>
          </w:p>
        </w:tc>
        <w:tc>
          <w:tcPr>
            <w:tcW w:w="2145" w:type="dxa"/>
            <w:tcBorders>
              <w:top w:val="nil"/>
              <w:left w:val="nil"/>
              <w:bottom w:val="single" w:sz="4" w:space="0" w:color="auto"/>
              <w:right w:val="nil"/>
            </w:tcBorders>
            <w:shd w:val="clear" w:color="auto" w:fill="auto"/>
            <w:vAlign w:val="center"/>
            <w:hideMark/>
          </w:tcPr>
          <w:p w14:paraId="17BE0385" w14:textId="77777777" w:rsidR="00C165F8" w:rsidRPr="001707CF" w:rsidRDefault="00C165F8" w:rsidP="008558ED">
            <w:pPr>
              <w:jc w:val="center"/>
              <w:rPr>
                <w:rFonts w:ascii="Tahoma" w:hAnsi="Tahoma" w:cs="Tahoma"/>
                <w:i/>
                <w:iCs/>
                <w:sz w:val="23"/>
                <w:szCs w:val="23"/>
              </w:rPr>
            </w:pPr>
            <w:proofErr w:type="spellStart"/>
            <w:r w:rsidRPr="001707CF">
              <w:rPr>
                <w:rFonts w:ascii="Tahoma" w:hAnsi="Tahoma" w:cs="Tahoma"/>
                <w:i/>
                <w:iCs/>
                <w:sz w:val="23"/>
                <w:szCs w:val="23"/>
              </w:rPr>
              <w:t>Učešće</w:t>
            </w:r>
            <w:proofErr w:type="spellEnd"/>
            <w:r w:rsidRPr="001707CF">
              <w:rPr>
                <w:rFonts w:ascii="Tahoma" w:hAnsi="Tahoma" w:cs="Tahoma"/>
                <w:i/>
                <w:iCs/>
                <w:sz w:val="23"/>
                <w:szCs w:val="23"/>
              </w:rPr>
              <w:t xml:space="preserve"> </w:t>
            </w:r>
            <w:proofErr w:type="spellStart"/>
            <w:r w:rsidRPr="001707CF">
              <w:rPr>
                <w:rFonts w:ascii="Tahoma" w:hAnsi="Tahoma" w:cs="Tahoma"/>
                <w:i/>
                <w:iCs/>
                <w:sz w:val="23"/>
                <w:szCs w:val="23"/>
              </w:rPr>
              <w:t>provizije</w:t>
            </w:r>
            <w:proofErr w:type="spellEnd"/>
            <w:r w:rsidRPr="001707CF">
              <w:rPr>
                <w:rFonts w:ascii="Tahoma" w:hAnsi="Tahoma" w:cs="Tahoma"/>
                <w:i/>
                <w:iCs/>
                <w:sz w:val="23"/>
                <w:szCs w:val="23"/>
              </w:rPr>
              <w:t xml:space="preserve"> u </w:t>
            </w:r>
            <w:proofErr w:type="spellStart"/>
            <w:r w:rsidRPr="001707CF">
              <w:rPr>
                <w:rFonts w:ascii="Tahoma" w:hAnsi="Tahoma" w:cs="Tahoma"/>
                <w:i/>
                <w:iCs/>
                <w:sz w:val="23"/>
                <w:szCs w:val="23"/>
              </w:rPr>
              <w:t>vrijednosti</w:t>
            </w:r>
            <w:proofErr w:type="spellEnd"/>
            <w:r w:rsidRPr="001707CF">
              <w:rPr>
                <w:rFonts w:ascii="Tahoma" w:hAnsi="Tahoma" w:cs="Tahoma"/>
                <w:i/>
                <w:iCs/>
                <w:sz w:val="23"/>
                <w:szCs w:val="23"/>
              </w:rPr>
              <w:t xml:space="preserve"> </w:t>
            </w:r>
            <w:proofErr w:type="spellStart"/>
            <w:r w:rsidRPr="001707CF">
              <w:rPr>
                <w:rFonts w:ascii="Tahoma" w:hAnsi="Tahoma" w:cs="Tahoma"/>
                <w:i/>
                <w:iCs/>
                <w:sz w:val="23"/>
                <w:szCs w:val="23"/>
              </w:rPr>
              <w:t>akcija</w:t>
            </w:r>
            <w:proofErr w:type="spellEnd"/>
          </w:p>
        </w:tc>
      </w:tr>
      <w:tr w:rsidR="00C165F8" w:rsidRPr="001707CF" w14:paraId="36B0CC8D" w14:textId="77777777" w:rsidTr="008558ED">
        <w:trPr>
          <w:trHeight w:val="570"/>
          <w:jc w:val="center"/>
        </w:trPr>
        <w:tc>
          <w:tcPr>
            <w:tcW w:w="3020" w:type="dxa"/>
            <w:tcBorders>
              <w:top w:val="nil"/>
              <w:left w:val="nil"/>
              <w:bottom w:val="nil"/>
              <w:right w:val="nil"/>
            </w:tcBorders>
            <w:shd w:val="clear" w:color="auto" w:fill="auto"/>
            <w:vAlign w:val="center"/>
          </w:tcPr>
          <w:p w14:paraId="76C35BE2" w14:textId="77777777" w:rsidR="00C165F8" w:rsidRPr="001707CF" w:rsidRDefault="00C165F8" w:rsidP="008558ED">
            <w:pPr>
              <w:rPr>
                <w:rFonts w:ascii="Tahoma" w:hAnsi="Tahoma" w:cs="Tahoma"/>
                <w:sz w:val="23"/>
                <w:szCs w:val="23"/>
              </w:rPr>
            </w:pPr>
            <w:proofErr w:type="spellStart"/>
            <w:r w:rsidRPr="001707CF">
              <w:rPr>
                <w:rFonts w:ascii="Tahoma" w:hAnsi="Tahoma" w:cs="Tahoma"/>
                <w:sz w:val="23"/>
                <w:szCs w:val="23"/>
              </w:rPr>
              <w:t>Advantis</w:t>
            </w:r>
            <w:proofErr w:type="spellEnd"/>
            <w:r w:rsidRPr="001707CF">
              <w:rPr>
                <w:rFonts w:ascii="Tahoma" w:hAnsi="Tahoma" w:cs="Tahoma"/>
                <w:sz w:val="23"/>
                <w:szCs w:val="23"/>
              </w:rPr>
              <w:t xml:space="preserve"> broker </w:t>
            </w:r>
            <w:proofErr w:type="spellStart"/>
            <w:r w:rsidRPr="001707CF">
              <w:rPr>
                <w:rFonts w:ascii="Tahoma" w:hAnsi="Tahoma" w:cs="Tahoma"/>
                <w:sz w:val="23"/>
                <w:szCs w:val="23"/>
              </w:rPr>
              <w:t>a.d.</w:t>
            </w:r>
            <w:proofErr w:type="spellEnd"/>
          </w:p>
        </w:tc>
        <w:tc>
          <w:tcPr>
            <w:tcW w:w="1472" w:type="dxa"/>
            <w:tcBorders>
              <w:top w:val="nil"/>
              <w:left w:val="nil"/>
              <w:bottom w:val="single" w:sz="4" w:space="0" w:color="auto"/>
              <w:right w:val="nil"/>
            </w:tcBorders>
            <w:shd w:val="clear" w:color="auto" w:fill="auto"/>
            <w:noWrap/>
            <w:vAlign w:val="center"/>
          </w:tcPr>
          <w:p w14:paraId="3FA8D4BA" w14:textId="77777777" w:rsidR="00C165F8" w:rsidRPr="001707CF" w:rsidRDefault="00C165F8" w:rsidP="008558ED">
            <w:pPr>
              <w:jc w:val="right"/>
              <w:rPr>
                <w:rFonts w:ascii="Tahoma" w:hAnsi="Tahoma" w:cs="Tahoma"/>
                <w:color w:val="000000"/>
                <w:sz w:val="23"/>
                <w:szCs w:val="23"/>
              </w:rPr>
            </w:pPr>
            <w:r w:rsidRPr="001707CF">
              <w:rPr>
                <w:rFonts w:ascii="Tahoma" w:hAnsi="Tahoma" w:cs="Tahoma"/>
                <w:sz w:val="23"/>
                <w:szCs w:val="23"/>
              </w:rPr>
              <w:t>153.179</w:t>
            </w:r>
          </w:p>
        </w:tc>
        <w:tc>
          <w:tcPr>
            <w:tcW w:w="1568" w:type="dxa"/>
            <w:tcBorders>
              <w:top w:val="nil"/>
              <w:left w:val="nil"/>
              <w:bottom w:val="single" w:sz="4" w:space="0" w:color="auto"/>
              <w:right w:val="nil"/>
            </w:tcBorders>
            <w:shd w:val="clear" w:color="auto" w:fill="auto"/>
            <w:noWrap/>
            <w:vAlign w:val="center"/>
          </w:tcPr>
          <w:p w14:paraId="4AF5C580" w14:textId="77777777" w:rsidR="00C165F8" w:rsidRPr="001707CF" w:rsidRDefault="00C165F8" w:rsidP="008558ED">
            <w:pPr>
              <w:jc w:val="right"/>
              <w:rPr>
                <w:rFonts w:ascii="Tahoma" w:hAnsi="Tahoma" w:cs="Tahoma"/>
                <w:color w:val="000000"/>
                <w:sz w:val="23"/>
                <w:szCs w:val="23"/>
              </w:rPr>
            </w:pPr>
            <w:r w:rsidRPr="001707CF">
              <w:rPr>
                <w:rFonts w:ascii="Tahoma" w:hAnsi="Tahoma" w:cs="Tahoma"/>
                <w:sz w:val="23"/>
                <w:szCs w:val="23"/>
              </w:rPr>
              <w:t>100%</w:t>
            </w:r>
          </w:p>
        </w:tc>
        <w:tc>
          <w:tcPr>
            <w:tcW w:w="1255" w:type="dxa"/>
            <w:tcBorders>
              <w:top w:val="nil"/>
              <w:left w:val="nil"/>
              <w:bottom w:val="single" w:sz="4" w:space="0" w:color="auto"/>
              <w:right w:val="nil"/>
            </w:tcBorders>
            <w:shd w:val="clear" w:color="auto" w:fill="auto"/>
            <w:noWrap/>
            <w:vAlign w:val="center"/>
          </w:tcPr>
          <w:p w14:paraId="51A6A8D9" w14:textId="77777777" w:rsidR="00C165F8" w:rsidRPr="001707CF" w:rsidRDefault="00C165F8" w:rsidP="008558ED">
            <w:pPr>
              <w:jc w:val="right"/>
              <w:rPr>
                <w:rFonts w:ascii="Tahoma" w:hAnsi="Tahoma" w:cs="Tahoma"/>
                <w:color w:val="000000"/>
                <w:sz w:val="23"/>
                <w:szCs w:val="23"/>
              </w:rPr>
            </w:pPr>
            <w:r w:rsidRPr="001707CF">
              <w:rPr>
                <w:rFonts w:ascii="Tahoma" w:hAnsi="Tahoma" w:cs="Tahoma"/>
                <w:sz w:val="23"/>
                <w:szCs w:val="23"/>
              </w:rPr>
              <w:t>-</w:t>
            </w:r>
          </w:p>
        </w:tc>
        <w:tc>
          <w:tcPr>
            <w:tcW w:w="2145" w:type="dxa"/>
            <w:tcBorders>
              <w:top w:val="nil"/>
              <w:left w:val="nil"/>
              <w:bottom w:val="single" w:sz="4" w:space="0" w:color="auto"/>
              <w:right w:val="nil"/>
            </w:tcBorders>
            <w:shd w:val="clear" w:color="auto" w:fill="auto"/>
            <w:noWrap/>
            <w:vAlign w:val="center"/>
          </w:tcPr>
          <w:p w14:paraId="01A87583" w14:textId="77777777" w:rsidR="00C165F8" w:rsidRPr="001707CF" w:rsidRDefault="00C165F8" w:rsidP="008558ED">
            <w:pPr>
              <w:jc w:val="right"/>
              <w:rPr>
                <w:rFonts w:ascii="Tahoma" w:hAnsi="Tahoma" w:cs="Tahoma"/>
                <w:color w:val="000000"/>
                <w:sz w:val="23"/>
                <w:szCs w:val="23"/>
              </w:rPr>
            </w:pPr>
            <w:r w:rsidRPr="001707CF">
              <w:rPr>
                <w:rFonts w:ascii="Tahoma" w:hAnsi="Tahoma" w:cs="Tahoma"/>
                <w:sz w:val="23"/>
                <w:szCs w:val="23"/>
              </w:rPr>
              <w:t>-</w:t>
            </w:r>
          </w:p>
        </w:tc>
      </w:tr>
      <w:tr w:rsidR="00C165F8" w:rsidRPr="001707CF" w14:paraId="5AB023BF" w14:textId="77777777" w:rsidTr="008558ED">
        <w:trPr>
          <w:trHeight w:val="285"/>
          <w:jc w:val="center"/>
        </w:trPr>
        <w:tc>
          <w:tcPr>
            <w:tcW w:w="3020" w:type="dxa"/>
            <w:tcBorders>
              <w:top w:val="nil"/>
              <w:left w:val="nil"/>
              <w:bottom w:val="single" w:sz="4" w:space="0" w:color="auto"/>
              <w:right w:val="nil"/>
            </w:tcBorders>
            <w:shd w:val="clear" w:color="auto" w:fill="auto"/>
            <w:noWrap/>
            <w:vAlign w:val="center"/>
            <w:hideMark/>
          </w:tcPr>
          <w:p w14:paraId="37A40C46" w14:textId="77777777" w:rsidR="00C165F8" w:rsidRPr="001707CF" w:rsidRDefault="00C165F8" w:rsidP="008558ED">
            <w:pPr>
              <w:rPr>
                <w:rFonts w:ascii="Tahoma" w:hAnsi="Tahoma" w:cs="Tahoma"/>
                <w:b/>
                <w:bCs/>
                <w:sz w:val="23"/>
                <w:szCs w:val="23"/>
              </w:rPr>
            </w:pPr>
            <w:r w:rsidRPr="001707CF">
              <w:rPr>
                <w:rFonts w:ascii="Tahoma" w:hAnsi="Tahoma" w:cs="Tahoma"/>
                <w:b/>
                <w:bCs/>
                <w:sz w:val="23"/>
                <w:szCs w:val="23"/>
              </w:rPr>
              <w:t>UKUPNO</w:t>
            </w:r>
          </w:p>
        </w:tc>
        <w:tc>
          <w:tcPr>
            <w:tcW w:w="1472" w:type="dxa"/>
            <w:tcBorders>
              <w:top w:val="nil"/>
              <w:left w:val="nil"/>
              <w:bottom w:val="single" w:sz="4" w:space="0" w:color="auto"/>
              <w:right w:val="nil"/>
            </w:tcBorders>
            <w:shd w:val="clear" w:color="auto" w:fill="auto"/>
            <w:noWrap/>
            <w:vAlign w:val="center"/>
          </w:tcPr>
          <w:p w14:paraId="2B77B093" w14:textId="77777777" w:rsidR="00C165F8" w:rsidRPr="001707CF" w:rsidRDefault="00C165F8" w:rsidP="008558ED">
            <w:pPr>
              <w:jc w:val="right"/>
              <w:rPr>
                <w:rFonts w:ascii="Tahoma" w:hAnsi="Tahoma" w:cs="Tahoma"/>
                <w:b/>
                <w:bCs/>
                <w:sz w:val="23"/>
                <w:szCs w:val="23"/>
              </w:rPr>
            </w:pPr>
            <w:r w:rsidRPr="001707CF">
              <w:rPr>
                <w:rFonts w:ascii="Tahoma" w:hAnsi="Tahoma" w:cs="Tahoma"/>
                <w:b/>
                <w:bCs/>
                <w:sz w:val="23"/>
                <w:szCs w:val="23"/>
              </w:rPr>
              <w:t>153.179</w:t>
            </w:r>
          </w:p>
        </w:tc>
        <w:tc>
          <w:tcPr>
            <w:tcW w:w="1568" w:type="dxa"/>
            <w:tcBorders>
              <w:top w:val="nil"/>
              <w:left w:val="nil"/>
              <w:bottom w:val="single" w:sz="4" w:space="0" w:color="auto"/>
              <w:right w:val="nil"/>
            </w:tcBorders>
            <w:shd w:val="clear" w:color="auto" w:fill="auto"/>
            <w:noWrap/>
            <w:vAlign w:val="center"/>
          </w:tcPr>
          <w:p w14:paraId="29BDB465" w14:textId="77777777" w:rsidR="00C165F8" w:rsidRPr="001707CF" w:rsidRDefault="00C165F8" w:rsidP="008558ED">
            <w:pPr>
              <w:jc w:val="right"/>
              <w:rPr>
                <w:rFonts w:ascii="Tahoma" w:hAnsi="Tahoma" w:cs="Tahoma"/>
                <w:b/>
                <w:bCs/>
                <w:sz w:val="23"/>
                <w:szCs w:val="23"/>
              </w:rPr>
            </w:pPr>
            <w:r w:rsidRPr="001707CF">
              <w:rPr>
                <w:rFonts w:ascii="Tahoma" w:hAnsi="Tahoma" w:cs="Tahoma"/>
                <w:b/>
                <w:bCs/>
                <w:sz w:val="23"/>
                <w:szCs w:val="23"/>
              </w:rPr>
              <w:t>100%</w:t>
            </w:r>
          </w:p>
        </w:tc>
        <w:tc>
          <w:tcPr>
            <w:tcW w:w="1255" w:type="dxa"/>
            <w:tcBorders>
              <w:top w:val="nil"/>
              <w:left w:val="nil"/>
              <w:bottom w:val="single" w:sz="4" w:space="0" w:color="auto"/>
              <w:right w:val="nil"/>
            </w:tcBorders>
            <w:shd w:val="clear" w:color="auto" w:fill="auto"/>
            <w:noWrap/>
            <w:vAlign w:val="center"/>
          </w:tcPr>
          <w:p w14:paraId="6DBE5AFC" w14:textId="77777777" w:rsidR="00C165F8" w:rsidRPr="001707CF" w:rsidRDefault="00C165F8" w:rsidP="008558ED">
            <w:pPr>
              <w:jc w:val="right"/>
              <w:rPr>
                <w:rFonts w:ascii="Tahoma" w:hAnsi="Tahoma" w:cs="Tahoma"/>
                <w:b/>
                <w:bCs/>
                <w:sz w:val="23"/>
                <w:szCs w:val="23"/>
              </w:rPr>
            </w:pPr>
            <w:r w:rsidRPr="001707CF">
              <w:rPr>
                <w:rFonts w:ascii="Tahoma" w:hAnsi="Tahoma" w:cs="Tahoma"/>
                <w:b/>
                <w:bCs/>
                <w:sz w:val="23"/>
                <w:szCs w:val="23"/>
              </w:rPr>
              <w:t>-</w:t>
            </w:r>
          </w:p>
        </w:tc>
        <w:tc>
          <w:tcPr>
            <w:tcW w:w="2145" w:type="dxa"/>
            <w:tcBorders>
              <w:top w:val="nil"/>
              <w:left w:val="nil"/>
              <w:bottom w:val="single" w:sz="4" w:space="0" w:color="auto"/>
              <w:right w:val="nil"/>
            </w:tcBorders>
            <w:shd w:val="clear" w:color="auto" w:fill="auto"/>
            <w:noWrap/>
            <w:vAlign w:val="center"/>
          </w:tcPr>
          <w:p w14:paraId="3AB55CA6" w14:textId="77777777" w:rsidR="00C165F8" w:rsidRPr="001707CF" w:rsidRDefault="00C165F8" w:rsidP="008558ED">
            <w:pPr>
              <w:jc w:val="right"/>
              <w:rPr>
                <w:rFonts w:ascii="Tahoma" w:hAnsi="Tahoma" w:cs="Tahoma"/>
                <w:b/>
                <w:bCs/>
                <w:sz w:val="23"/>
                <w:szCs w:val="23"/>
              </w:rPr>
            </w:pPr>
            <w:r w:rsidRPr="001707CF">
              <w:rPr>
                <w:rFonts w:ascii="Tahoma" w:hAnsi="Tahoma" w:cs="Tahoma"/>
                <w:b/>
                <w:bCs/>
                <w:sz w:val="23"/>
                <w:szCs w:val="23"/>
                <w:lang w:val="sr-Latn-BA"/>
              </w:rPr>
              <w:t>-</w:t>
            </w:r>
          </w:p>
        </w:tc>
      </w:tr>
      <w:tr w:rsidR="00C165F8" w:rsidRPr="001707CF" w14:paraId="04816A1A" w14:textId="77777777" w:rsidTr="008558ED">
        <w:trPr>
          <w:trHeight w:val="630"/>
          <w:jc w:val="center"/>
        </w:trPr>
        <w:tc>
          <w:tcPr>
            <w:tcW w:w="3020" w:type="dxa"/>
            <w:vMerge w:val="restart"/>
            <w:tcBorders>
              <w:top w:val="nil"/>
              <w:left w:val="nil"/>
              <w:bottom w:val="single" w:sz="4" w:space="0" w:color="000000"/>
              <w:right w:val="nil"/>
            </w:tcBorders>
            <w:shd w:val="clear" w:color="auto" w:fill="auto"/>
            <w:vAlign w:val="center"/>
            <w:hideMark/>
          </w:tcPr>
          <w:p w14:paraId="32582F41" w14:textId="77777777" w:rsidR="00C165F8" w:rsidRPr="001707CF" w:rsidRDefault="00C165F8" w:rsidP="008558ED">
            <w:pPr>
              <w:jc w:val="center"/>
              <w:rPr>
                <w:rFonts w:ascii="Tahoma" w:hAnsi="Tahoma" w:cs="Tahoma"/>
                <w:i/>
                <w:iCs/>
                <w:sz w:val="23"/>
                <w:szCs w:val="23"/>
              </w:rPr>
            </w:pPr>
            <w:proofErr w:type="spellStart"/>
            <w:r w:rsidRPr="001707CF">
              <w:rPr>
                <w:rFonts w:ascii="Tahoma" w:hAnsi="Tahoma" w:cs="Tahoma"/>
                <w:i/>
                <w:iCs/>
                <w:sz w:val="23"/>
                <w:szCs w:val="23"/>
              </w:rPr>
              <w:t>Naziv</w:t>
            </w:r>
            <w:proofErr w:type="spellEnd"/>
            <w:r w:rsidRPr="001707CF">
              <w:rPr>
                <w:rFonts w:ascii="Tahoma" w:hAnsi="Tahoma" w:cs="Tahoma"/>
                <w:i/>
                <w:iCs/>
                <w:sz w:val="23"/>
                <w:szCs w:val="23"/>
              </w:rPr>
              <w:t xml:space="preserve"> </w:t>
            </w:r>
            <w:proofErr w:type="spellStart"/>
            <w:r w:rsidRPr="001707CF">
              <w:rPr>
                <w:rFonts w:ascii="Tahoma" w:hAnsi="Tahoma" w:cs="Tahoma"/>
                <w:i/>
                <w:iCs/>
                <w:sz w:val="23"/>
                <w:szCs w:val="23"/>
              </w:rPr>
              <w:t>berzanskog</w:t>
            </w:r>
            <w:proofErr w:type="spellEnd"/>
            <w:r w:rsidRPr="001707CF">
              <w:rPr>
                <w:rFonts w:ascii="Tahoma" w:hAnsi="Tahoma" w:cs="Tahoma"/>
                <w:i/>
                <w:iCs/>
                <w:sz w:val="23"/>
                <w:szCs w:val="23"/>
              </w:rPr>
              <w:t xml:space="preserve"> </w:t>
            </w:r>
            <w:proofErr w:type="spellStart"/>
            <w:r w:rsidRPr="001707CF">
              <w:rPr>
                <w:rFonts w:ascii="Tahoma" w:hAnsi="Tahoma" w:cs="Tahoma"/>
                <w:i/>
                <w:iCs/>
                <w:sz w:val="23"/>
                <w:szCs w:val="23"/>
              </w:rPr>
              <w:t>posrednika</w:t>
            </w:r>
            <w:proofErr w:type="spellEnd"/>
          </w:p>
        </w:tc>
        <w:tc>
          <w:tcPr>
            <w:tcW w:w="3040" w:type="dxa"/>
            <w:gridSpan w:val="2"/>
            <w:tcBorders>
              <w:top w:val="single" w:sz="4" w:space="0" w:color="auto"/>
              <w:left w:val="nil"/>
              <w:bottom w:val="nil"/>
              <w:right w:val="nil"/>
            </w:tcBorders>
            <w:shd w:val="clear" w:color="auto" w:fill="auto"/>
            <w:vAlign w:val="center"/>
            <w:hideMark/>
          </w:tcPr>
          <w:p w14:paraId="7C19946C" w14:textId="77777777" w:rsidR="00C165F8" w:rsidRPr="001707CF" w:rsidRDefault="00C165F8" w:rsidP="008558ED">
            <w:pPr>
              <w:jc w:val="center"/>
              <w:rPr>
                <w:rFonts w:ascii="Tahoma" w:hAnsi="Tahoma" w:cs="Tahoma"/>
                <w:i/>
                <w:iCs/>
                <w:sz w:val="23"/>
                <w:szCs w:val="23"/>
              </w:rPr>
            </w:pPr>
            <w:proofErr w:type="spellStart"/>
            <w:r w:rsidRPr="001707CF">
              <w:rPr>
                <w:rFonts w:ascii="Tahoma" w:hAnsi="Tahoma" w:cs="Tahoma"/>
                <w:i/>
                <w:iCs/>
                <w:sz w:val="23"/>
                <w:szCs w:val="23"/>
              </w:rPr>
              <w:t>Vrijednost</w:t>
            </w:r>
            <w:proofErr w:type="spellEnd"/>
            <w:r w:rsidRPr="001707CF">
              <w:rPr>
                <w:rFonts w:ascii="Tahoma" w:hAnsi="Tahoma" w:cs="Tahoma"/>
                <w:i/>
                <w:iCs/>
                <w:sz w:val="23"/>
                <w:szCs w:val="23"/>
              </w:rPr>
              <w:t xml:space="preserve"> </w:t>
            </w:r>
            <w:proofErr w:type="spellStart"/>
            <w:r w:rsidRPr="001707CF">
              <w:rPr>
                <w:rFonts w:ascii="Tahoma" w:hAnsi="Tahoma" w:cs="Tahoma"/>
                <w:i/>
                <w:iCs/>
                <w:sz w:val="23"/>
                <w:szCs w:val="23"/>
              </w:rPr>
              <w:t>transakcija</w:t>
            </w:r>
            <w:proofErr w:type="spellEnd"/>
            <w:r w:rsidRPr="001707CF">
              <w:rPr>
                <w:rFonts w:ascii="Tahoma" w:hAnsi="Tahoma" w:cs="Tahoma"/>
                <w:i/>
                <w:iCs/>
                <w:sz w:val="23"/>
                <w:szCs w:val="23"/>
              </w:rPr>
              <w:br/>
              <w:t xml:space="preserve"> 01.01.-31.12.</w:t>
            </w:r>
            <w:r>
              <w:rPr>
                <w:rFonts w:ascii="Tahoma" w:hAnsi="Tahoma" w:cs="Tahoma"/>
                <w:i/>
                <w:iCs/>
                <w:sz w:val="23"/>
                <w:szCs w:val="23"/>
              </w:rPr>
              <w:t>2024</w:t>
            </w:r>
            <w:r w:rsidRPr="001707CF">
              <w:rPr>
                <w:rFonts w:ascii="Tahoma" w:hAnsi="Tahoma" w:cs="Tahoma"/>
                <w:i/>
                <w:iCs/>
                <w:sz w:val="23"/>
                <w:szCs w:val="23"/>
              </w:rPr>
              <w:t>.</w:t>
            </w:r>
          </w:p>
        </w:tc>
        <w:tc>
          <w:tcPr>
            <w:tcW w:w="3400" w:type="dxa"/>
            <w:gridSpan w:val="2"/>
            <w:tcBorders>
              <w:top w:val="single" w:sz="4" w:space="0" w:color="auto"/>
              <w:left w:val="nil"/>
              <w:bottom w:val="nil"/>
              <w:right w:val="nil"/>
            </w:tcBorders>
            <w:shd w:val="clear" w:color="auto" w:fill="auto"/>
            <w:vAlign w:val="center"/>
            <w:hideMark/>
          </w:tcPr>
          <w:p w14:paraId="7C5FDBD5" w14:textId="77777777" w:rsidR="00C165F8" w:rsidRPr="001707CF" w:rsidRDefault="00C165F8" w:rsidP="008558ED">
            <w:pPr>
              <w:jc w:val="center"/>
              <w:rPr>
                <w:rFonts w:ascii="Tahoma" w:hAnsi="Tahoma" w:cs="Tahoma"/>
                <w:i/>
                <w:iCs/>
                <w:sz w:val="23"/>
                <w:szCs w:val="23"/>
              </w:rPr>
            </w:pPr>
            <w:proofErr w:type="spellStart"/>
            <w:r w:rsidRPr="001707CF">
              <w:rPr>
                <w:rFonts w:ascii="Tahoma" w:hAnsi="Tahoma" w:cs="Tahoma"/>
                <w:i/>
                <w:iCs/>
                <w:sz w:val="23"/>
                <w:szCs w:val="23"/>
              </w:rPr>
              <w:t>Plaćena</w:t>
            </w:r>
            <w:proofErr w:type="spellEnd"/>
            <w:r w:rsidRPr="001707CF">
              <w:rPr>
                <w:rFonts w:ascii="Tahoma" w:hAnsi="Tahoma" w:cs="Tahoma"/>
                <w:i/>
                <w:iCs/>
                <w:sz w:val="23"/>
                <w:szCs w:val="23"/>
              </w:rPr>
              <w:t xml:space="preserve"> </w:t>
            </w:r>
            <w:proofErr w:type="spellStart"/>
            <w:r w:rsidRPr="001707CF">
              <w:rPr>
                <w:rFonts w:ascii="Tahoma" w:hAnsi="Tahoma" w:cs="Tahoma"/>
                <w:i/>
                <w:iCs/>
                <w:sz w:val="23"/>
                <w:szCs w:val="23"/>
              </w:rPr>
              <w:t>provizija</w:t>
            </w:r>
            <w:proofErr w:type="spellEnd"/>
            <w:r w:rsidRPr="001707CF">
              <w:rPr>
                <w:rFonts w:ascii="Tahoma" w:hAnsi="Tahoma" w:cs="Tahoma"/>
                <w:i/>
                <w:iCs/>
                <w:sz w:val="23"/>
                <w:szCs w:val="23"/>
              </w:rPr>
              <w:t xml:space="preserve"> </w:t>
            </w:r>
            <w:r w:rsidRPr="001707CF">
              <w:rPr>
                <w:rFonts w:ascii="Tahoma" w:hAnsi="Tahoma" w:cs="Tahoma"/>
                <w:i/>
                <w:iCs/>
                <w:sz w:val="23"/>
                <w:szCs w:val="23"/>
              </w:rPr>
              <w:br/>
              <w:t>01.01.-31.12.</w:t>
            </w:r>
            <w:r>
              <w:rPr>
                <w:rFonts w:ascii="Tahoma" w:hAnsi="Tahoma" w:cs="Tahoma"/>
                <w:i/>
                <w:iCs/>
                <w:sz w:val="23"/>
                <w:szCs w:val="23"/>
              </w:rPr>
              <w:t>2024</w:t>
            </w:r>
            <w:r w:rsidRPr="001707CF">
              <w:rPr>
                <w:rFonts w:ascii="Tahoma" w:hAnsi="Tahoma" w:cs="Tahoma"/>
                <w:i/>
                <w:iCs/>
                <w:sz w:val="23"/>
                <w:szCs w:val="23"/>
              </w:rPr>
              <w:t>.</w:t>
            </w:r>
          </w:p>
        </w:tc>
      </w:tr>
      <w:tr w:rsidR="00C165F8" w:rsidRPr="001707CF" w14:paraId="44A3D221" w14:textId="77777777" w:rsidTr="008558ED">
        <w:trPr>
          <w:trHeight w:val="570"/>
          <w:jc w:val="center"/>
        </w:trPr>
        <w:tc>
          <w:tcPr>
            <w:tcW w:w="3020" w:type="dxa"/>
            <w:vMerge/>
            <w:tcBorders>
              <w:top w:val="nil"/>
              <w:left w:val="nil"/>
              <w:bottom w:val="single" w:sz="4" w:space="0" w:color="000000"/>
              <w:right w:val="nil"/>
            </w:tcBorders>
            <w:vAlign w:val="center"/>
            <w:hideMark/>
          </w:tcPr>
          <w:p w14:paraId="73D01453" w14:textId="77777777" w:rsidR="00C165F8" w:rsidRPr="001707CF" w:rsidRDefault="00C165F8" w:rsidP="008558ED">
            <w:pPr>
              <w:rPr>
                <w:rFonts w:ascii="Tahoma" w:hAnsi="Tahoma" w:cs="Tahoma"/>
                <w:i/>
                <w:iCs/>
                <w:sz w:val="23"/>
                <w:szCs w:val="23"/>
              </w:rPr>
            </w:pPr>
          </w:p>
        </w:tc>
        <w:tc>
          <w:tcPr>
            <w:tcW w:w="1472" w:type="dxa"/>
            <w:tcBorders>
              <w:top w:val="nil"/>
              <w:left w:val="nil"/>
              <w:bottom w:val="single" w:sz="4" w:space="0" w:color="auto"/>
              <w:right w:val="nil"/>
            </w:tcBorders>
            <w:shd w:val="clear" w:color="auto" w:fill="auto"/>
            <w:noWrap/>
            <w:vAlign w:val="center"/>
            <w:hideMark/>
          </w:tcPr>
          <w:p w14:paraId="10A8ACCA" w14:textId="77777777" w:rsidR="00C165F8" w:rsidRPr="001707CF" w:rsidRDefault="00C165F8" w:rsidP="008558ED">
            <w:pPr>
              <w:jc w:val="center"/>
              <w:rPr>
                <w:rFonts w:ascii="Tahoma" w:hAnsi="Tahoma" w:cs="Tahoma"/>
                <w:i/>
                <w:iCs/>
                <w:sz w:val="23"/>
                <w:szCs w:val="23"/>
              </w:rPr>
            </w:pPr>
            <w:r w:rsidRPr="001707CF">
              <w:rPr>
                <w:rFonts w:ascii="Tahoma" w:hAnsi="Tahoma" w:cs="Tahoma"/>
                <w:i/>
                <w:iCs/>
                <w:sz w:val="23"/>
                <w:szCs w:val="23"/>
              </w:rPr>
              <w:t>Iznos u KM</w:t>
            </w:r>
          </w:p>
        </w:tc>
        <w:tc>
          <w:tcPr>
            <w:tcW w:w="1568" w:type="dxa"/>
            <w:tcBorders>
              <w:top w:val="nil"/>
              <w:left w:val="nil"/>
              <w:bottom w:val="single" w:sz="4" w:space="0" w:color="auto"/>
              <w:right w:val="nil"/>
            </w:tcBorders>
            <w:shd w:val="clear" w:color="auto" w:fill="auto"/>
            <w:noWrap/>
            <w:vAlign w:val="center"/>
            <w:hideMark/>
          </w:tcPr>
          <w:p w14:paraId="31F985F2" w14:textId="77777777" w:rsidR="00C165F8" w:rsidRPr="001707CF" w:rsidRDefault="00C165F8" w:rsidP="008558ED">
            <w:pPr>
              <w:jc w:val="center"/>
              <w:rPr>
                <w:rFonts w:ascii="Tahoma" w:hAnsi="Tahoma" w:cs="Tahoma"/>
                <w:i/>
                <w:iCs/>
                <w:sz w:val="23"/>
                <w:szCs w:val="23"/>
              </w:rPr>
            </w:pPr>
            <w:proofErr w:type="spellStart"/>
            <w:r w:rsidRPr="001707CF">
              <w:rPr>
                <w:rFonts w:ascii="Tahoma" w:hAnsi="Tahoma" w:cs="Tahoma"/>
                <w:i/>
                <w:iCs/>
                <w:sz w:val="23"/>
                <w:szCs w:val="23"/>
              </w:rPr>
              <w:t>Učešće</w:t>
            </w:r>
            <w:proofErr w:type="spellEnd"/>
            <w:r w:rsidRPr="001707CF">
              <w:rPr>
                <w:rFonts w:ascii="Tahoma" w:hAnsi="Tahoma" w:cs="Tahoma"/>
                <w:i/>
                <w:iCs/>
                <w:sz w:val="23"/>
                <w:szCs w:val="23"/>
              </w:rPr>
              <w:t xml:space="preserve"> u %</w:t>
            </w:r>
          </w:p>
        </w:tc>
        <w:tc>
          <w:tcPr>
            <w:tcW w:w="1255" w:type="dxa"/>
            <w:tcBorders>
              <w:top w:val="nil"/>
              <w:left w:val="nil"/>
              <w:bottom w:val="single" w:sz="4" w:space="0" w:color="auto"/>
              <w:right w:val="nil"/>
            </w:tcBorders>
            <w:shd w:val="clear" w:color="auto" w:fill="auto"/>
            <w:noWrap/>
            <w:vAlign w:val="center"/>
            <w:hideMark/>
          </w:tcPr>
          <w:p w14:paraId="4C94501B" w14:textId="77777777" w:rsidR="00C165F8" w:rsidRPr="001707CF" w:rsidRDefault="00C165F8" w:rsidP="008558ED">
            <w:pPr>
              <w:jc w:val="center"/>
              <w:rPr>
                <w:rFonts w:ascii="Tahoma" w:hAnsi="Tahoma" w:cs="Tahoma"/>
                <w:i/>
                <w:iCs/>
                <w:sz w:val="23"/>
                <w:szCs w:val="23"/>
              </w:rPr>
            </w:pPr>
            <w:r w:rsidRPr="001707CF">
              <w:rPr>
                <w:rFonts w:ascii="Tahoma" w:hAnsi="Tahoma" w:cs="Tahoma"/>
                <w:i/>
                <w:iCs/>
                <w:sz w:val="23"/>
                <w:szCs w:val="23"/>
              </w:rPr>
              <w:t>Iznos u KM</w:t>
            </w:r>
          </w:p>
        </w:tc>
        <w:tc>
          <w:tcPr>
            <w:tcW w:w="2145" w:type="dxa"/>
            <w:tcBorders>
              <w:top w:val="nil"/>
              <w:left w:val="nil"/>
              <w:bottom w:val="single" w:sz="4" w:space="0" w:color="auto"/>
              <w:right w:val="nil"/>
            </w:tcBorders>
            <w:shd w:val="clear" w:color="auto" w:fill="auto"/>
            <w:vAlign w:val="center"/>
            <w:hideMark/>
          </w:tcPr>
          <w:p w14:paraId="70D208AD" w14:textId="77777777" w:rsidR="00C165F8" w:rsidRPr="001707CF" w:rsidRDefault="00C165F8" w:rsidP="008558ED">
            <w:pPr>
              <w:jc w:val="center"/>
              <w:rPr>
                <w:rFonts w:ascii="Tahoma" w:hAnsi="Tahoma" w:cs="Tahoma"/>
                <w:i/>
                <w:iCs/>
                <w:sz w:val="23"/>
                <w:szCs w:val="23"/>
              </w:rPr>
            </w:pPr>
            <w:proofErr w:type="spellStart"/>
            <w:r w:rsidRPr="001707CF">
              <w:rPr>
                <w:rFonts w:ascii="Tahoma" w:hAnsi="Tahoma" w:cs="Tahoma"/>
                <w:i/>
                <w:iCs/>
                <w:sz w:val="23"/>
                <w:szCs w:val="23"/>
              </w:rPr>
              <w:t>Učešće</w:t>
            </w:r>
            <w:proofErr w:type="spellEnd"/>
            <w:r w:rsidRPr="001707CF">
              <w:rPr>
                <w:rFonts w:ascii="Tahoma" w:hAnsi="Tahoma" w:cs="Tahoma"/>
                <w:i/>
                <w:iCs/>
                <w:sz w:val="23"/>
                <w:szCs w:val="23"/>
              </w:rPr>
              <w:t xml:space="preserve"> </w:t>
            </w:r>
            <w:proofErr w:type="spellStart"/>
            <w:r w:rsidRPr="001707CF">
              <w:rPr>
                <w:rFonts w:ascii="Tahoma" w:hAnsi="Tahoma" w:cs="Tahoma"/>
                <w:i/>
                <w:iCs/>
                <w:sz w:val="23"/>
                <w:szCs w:val="23"/>
              </w:rPr>
              <w:t>provizije</w:t>
            </w:r>
            <w:proofErr w:type="spellEnd"/>
            <w:r w:rsidRPr="001707CF">
              <w:rPr>
                <w:rFonts w:ascii="Tahoma" w:hAnsi="Tahoma" w:cs="Tahoma"/>
                <w:i/>
                <w:iCs/>
                <w:sz w:val="23"/>
                <w:szCs w:val="23"/>
              </w:rPr>
              <w:t xml:space="preserve"> u </w:t>
            </w:r>
            <w:proofErr w:type="spellStart"/>
            <w:r w:rsidRPr="001707CF">
              <w:rPr>
                <w:rFonts w:ascii="Tahoma" w:hAnsi="Tahoma" w:cs="Tahoma"/>
                <w:i/>
                <w:iCs/>
                <w:sz w:val="23"/>
                <w:szCs w:val="23"/>
              </w:rPr>
              <w:t>vrijednosti</w:t>
            </w:r>
            <w:proofErr w:type="spellEnd"/>
            <w:r w:rsidRPr="001707CF">
              <w:rPr>
                <w:rFonts w:ascii="Tahoma" w:hAnsi="Tahoma" w:cs="Tahoma"/>
                <w:i/>
                <w:iCs/>
                <w:sz w:val="23"/>
                <w:szCs w:val="23"/>
              </w:rPr>
              <w:t xml:space="preserve"> </w:t>
            </w:r>
            <w:proofErr w:type="spellStart"/>
            <w:r w:rsidRPr="001707CF">
              <w:rPr>
                <w:rFonts w:ascii="Tahoma" w:hAnsi="Tahoma" w:cs="Tahoma"/>
                <w:i/>
                <w:iCs/>
                <w:sz w:val="23"/>
                <w:szCs w:val="23"/>
              </w:rPr>
              <w:t>akcija</w:t>
            </w:r>
            <w:proofErr w:type="spellEnd"/>
          </w:p>
        </w:tc>
      </w:tr>
      <w:tr w:rsidR="00C165F8" w:rsidRPr="001707CF" w14:paraId="48852091" w14:textId="77777777" w:rsidTr="008558ED">
        <w:trPr>
          <w:trHeight w:val="570"/>
          <w:jc w:val="center"/>
        </w:trPr>
        <w:tc>
          <w:tcPr>
            <w:tcW w:w="3020" w:type="dxa"/>
            <w:tcBorders>
              <w:top w:val="nil"/>
              <w:left w:val="nil"/>
              <w:bottom w:val="nil"/>
              <w:right w:val="nil"/>
            </w:tcBorders>
            <w:shd w:val="clear" w:color="auto" w:fill="auto"/>
            <w:vAlign w:val="center"/>
          </w:tcPr>
          <w:p w14:paraId="5BC10A70" w14:textId="77777777" w:rsidR="00C165F8" w:rsidRPr="001707CF" w:rsidRDefault="00C165F8" w:rsidP="008558ED">
            <w:pPr>
              <w:rPr>
                <w:rFonts w:ascii="Tahoma" w:hAnsi="Tahoma" w:cs="Tahoma"/>
                <w:sz w:val="23"/>
                <w:szCs w:val="23"/>
              </w:rPr>
            </w:pPr>
            <w:proofErr w:type="spellStart"/>
            <w:r w:rsidRPr="001044C3">
              <w:rPr>
                <w:rFonts w:ascii="Tahoma" w:hAnsi="Tahoma" w:cs="Tahoma"/>
                <w:sz w:val="23"/>
                <w:szCs w:val="23"/>
              </w:rPr>
              <w:t>Advantis</w:t>
            </w:r>
            <w:proofErr w:type="spellEnd"/>
            <w:r w:rsidRPr="001044C3">
              <w:rPr>
                <w:rFonts w:ascii="Tahoma" w:hAnsi="Tahoma" w:cs="Tahoma"/>
                <w:sz w:val="23"/>
                <w:szCs w:val="23"/>
              </w:rPr>
              <w:t xml:space="preserve"> broker </w:t>
            </w:r>
            <w:proofErr w:type="spellStart"/>
            <w:r w:rsidRPr="001044C3">
              <w:rPr>
                <w:rFonts w:ascii="Tahoma" w:hAnsi="Tahoma" w:cs="Tahoma"/>
                <w:sz w:val="23"/>
                <w:szCs w:val="23"/>
              </w:rPr>
              <w:t>a.</w:t>
            </w:r>
            <w:bookmarkStart w:id="8" w:name="_GoBack"/>
            <w:r w:rsidRPr="001044C3">
              <w:rPr>
                <w:rFonts w:ascii="Tahoma" w:hAnsi="Tahoma" w:cs="Tahoma"/>
                <w:sz w:val="23"/>
                <w:szCs w:val="23"/>
              </w:rPr>
              <w:t>d</w:t>
            </w:r>
            <w:bookmarkEnd w:id="8"/>
            <w:r w:rsidRPr="001044C3">
              <w:rPr>
                <w:rFonts w:ascii="Tahoma" w:hAnsi="Tahoma" w:cs="Tahoma"/>
                <w:sz w:val="23"/>
                <w:szCs w:val="23"/>
              </w:rPr>
              <w:t>.</w:t>
            </w:r>
            <w:proofErr w:type="spellEnd"/>
            <w:r>
              <w:rPr>
                <w:rFonts w:ascii="Tahoma" w:hAnsi="Tahoma" w:cs="Tahoma"/>
                <w:sz w:val="23"/>
                <w:szCs w:val="23"/>
              </w:rPr>
              <w:t xml:space="preserve">               </w:t>
            </w:r>
          </w:p>
        </w:tc>
        <w:tc>
          <w:tcPr>
            <w:tcW w:w="1472" w:type="dxa"/>
            <w:tcBorders>
              <w:top w:val="nil"/>
              <w:left w:val="nil"/>
              <w:bottom w:val="single" w:sz="4" w:space="0" w:color="auto"/>
              <w:right w:val="nil"/>
            </w:tcBorders>
            <w:shd w:val="clear" w:color="auto" w:fill="auto"/>
            <w:noWrap/>
            <w:vAlign w:val="center"/>
          </w:tcPr>
          <w:p w14:paraId="17BA4B59" w14:textId="77777777" w:rsidR="00C165F8" w:rsidRPr="001707CF" w:rsidRDefault="00C165F8" w:rsidP="008558ED">
            <w:pPr>
              <w:jc w:val="right"/>
              <w:rPr>
                <w:rFonts w:ascii="Tahoma" w:hAnsi="Tahoma" w:cs="Tahoma"/>
                <w:sz w:val="23"/>
                <w:szCs w:val="23"/>
              </w:rPr>
            </w:pPr>
            <w:r>
              <w:rPr>
                <w:rFonts w:ascii="Tahoma" w:hAnsi="Tahoma" w:cs="Tahoma"/>
                <w:sz w:val="23"/>
                <w:szCs w:val="23"/>
              </w:rPr>
              <w:t>34.814</w:t>
            </w:r>
          </w:p>
        </w:tc>
        <w:tc>
          <w:tcPr>
            <w:tcW w:w="1568" w:type="dxa"/>
            <w:tcBorders>
              <w:top w:val="nil"/>
              <w:left w:val="nil"/>
              <w:bottom w:val="single" w:sz="4" w:space="0" w:color="auto"/>
              <w:right w:val="nil"/>
            </w:tcBorders>
            <w:shd w:val="clear" w:color="auto" w:fill="auto"/>
            <w:noWrap/>
            <w:vAlign w:val="center"/>
          </w:tcPr>
          <w:p w14:paraId="60E954F2" w14:textId="77777777" w:rsidR="00C165F8" w:rsidRPr="001707CF" w:rsidRDefault="00C165F8" w:rsidP="008558ED">
            <w:pPr>
              <w:jc w:val="right"/>
              <w:rPr>
                <w:rFonts w:ascii="Tahoma" w:hAnsi="Tahoma" w:cs="Tahoma"/>
                <w:sz w:val="23"/>
                <w:szCs w:val="23"/>
              </w:rPr>
            </w:pPr>
          </w:p>
        </w:tc>
        <w:tc>
          <w:tcPr>
            <w:tcW w:w="1255" w:type="dxa"/>
            <w:tcBorders>
              <w:top w:val="nil"/>
              <w:left w:val="nil"/>
              <w:bottom w:val="single" w:sz="4" w:space="0" w:color="auto"/>
              <w:right w:val="nil"/>
            </w:tcBorders>
            <w:shd w:val="clear" w:color="auto" w:fill="auto"/>
            <w:noWrap/>
            <w:vAlign w:val="center"/>
          </w:tcPr>
          <w:p w14:paraId="726CA9EB" w14:textId="77777777" w:rsidR="00C165F8" w:rsidRPr="001707CF" w:rsidRDefault="00C165F8" w:rsidP="008558ED">
            <w:pPr>
              <w:jc w:val="right"/>
              <w:rPr>
                <w:rFonts w:ascii="Tahoma" w:hAnsi="Tahoma" w:cs="Tahoma"/>
                <w:sz w:val="23"/>
                <w:szCs w:val="23"/>
              </w:rPr>
            </w:pPr>
          </w:p>
        </w:tc>
        <w:tc>
          <w:tcPr>
            <w:tcW w:w="2145" w:type="dxa"/>
            <w:tcBorders>
              <w:top w:val="nil"/>
              <w:left w:val="nil"/>
              <w:bottom w:val="single" w:sz="4" w:space="0" w:color="auto"/>
              <w:right w:val="nil"/>
            </w:tcBorders>
            <w:shd w:val="clear" w:color="auto" w:fill="auto"/>
            <w:noWrap/>
            <w:vAlign w:val="center"/>
          </w:tcPr>
          <w:p w14:paraId="4DBF8CB0" w14:textId="77777777" w:rsidR="00C165F8" w:rsidRPr="001707CF" w:rsidRDefault="00C165F8" w:rsidP="008558ED">
            <w:pPr>
              <w:jc w:val="right"/>
              <w:rPr>
                <w:rFonts w:ascii="Tahoma" w:hAnsi="Tahoma" w:cs="Tahoma"/>
                <w:sz w:val="23"/>
                <w:szCs w:val="23"/>
              </w:rPr>
            </w:pPr>
          </w:p>
        </w:tc>
      </w:tr>
      <w:tr w:rsidR="00C165F8" w:rsidRPr="001707CF" w14:paraId="0292EEED" w14:textId="77777777" w:rsidTr="008558ED">
        <w:trPr>
          <w:trHeight w:val="285"/>
          <w:jc w:val="center"/>
        </w:trPr>
        <w:tc>
          <w:tcPr>
            <w:tcW w:w="3020" w:type="dxa"/>
            <w:tcBorders>
              <w:top w:val="nil"/>
              <w:left w:val="nil"/>
              <w:bottom w:val="single" w:sz="4" w:space="0" w:color="auto"/>
              <w:right w:val="nil"/>
            </w:tcBorders>
            <w:shd w:val="clear" w:color="auto" w:fill="auto"/>
            <w:noWrap/>
            <w:vAlign w:val="center"/>
            <w:hideMark/>
          </w:tcPr>
          <w:p w14:paraId="363F3258" w14:textId="77777777" w:rsidR="00C165F8" w:rsidRPr="001707CF" w:rsidRDefault="00C165F8" w:rsidP="008558ED">
            <w:pPr>
              <w:rPr>
                <w:rFonts w:ascii="Tahoma" w:hAnsi="Tahoma" w:cs="Tahoma"/>
                <w:b/>
                <w:bCs/>
                <w:sz w:val="23"/>
                <w:szCs w:val="23"/>
              </w:rPr>
            </w:pPr>
            <w:r w:rsidRPr="001707CF">
              <w:rPr>
                <w:rFonts w:ascii="Tahoma" w:hAnsi="Tahoma" w:cs="Tahoma"/>
                <w:b/>
                <w:bCs/>
                <w:sz w:val="23"/>
                <w:szCs w:val="23"/>
              </w:rPr>
              <w:t>UKUPNO</w:t>
            </w:r>
          </w:p>
        </w:tc>
        <w:tc>
          <w:tcPr>
            <w:tcW w:w="1472" w:type="dxa"/>
            <w:tcBorders>
              <w:top w:val="nil"/>
              <w:left w:val="nil"/>
              <w:bottom w:val="single" w:sz="4" w:space="0" w:color="auto"/>
              <w:right w:val="nil"/>
            </w:tcBorders>
            <w:shd w:val="clear" w:color="auto" w:fill="auto"/>
            <w:noWrap/>
            <w:vAlign w:val="center"/>
          </w:tcPr>
          <w:p w14:paraId="317B2160" w14:textId="77777777" w:rsidR="00C165F8" w:rsidRPr="001707CF" w:rsidRDefault="00C165F8" w:rsidP="008558ED">
            <w:pPr>
              <w:jc w:val="right"/>
              <w:rPr>
                <w:rFonts w:ascii="Tahoma" w:hAnsi="Tahoma" w:cs="Tahoma"/>
                <w:b/>
                <w:bCs/>
                <w:sz w:val="23"/>
                <w:szCs w:val="23"/>
              </w:rPr>
            </w:pPr>
          </w:p>
        </w:tc>
        <w:tc>
          <w:tcPr>
            <w:tcW w:w="1568" w:type="dxa"/>
            <w:tcBorders>
              <w:top w:val="nil"/>
              <w:left w:val="nil"/>
              <w:bottom w:val="single" w:sz="4" w:space="0" w:color="auto"/>
              <w:right w:val="nil"/>
            </w:tcBorders>
            <w:shd w:val="clear" w:color="auto" w:fill="auto"/>
            <w:noWrap/>
            <w:vAlign w:val="center"/>
          </w:tcPr>
          <w:p w14:paraId="5BBC3DAF" w14:textId="77777777" w:rsidR="00C165F8" w:rsidRPr="001707CF" w:rsidRDefault="00C165F8" w:rsidP="008558ED">
            <w:pPr>
              <w:jc w:val="right"/>
              <w:rPr>
                <w:rFonts w:ascii="Tahoma" w:hAnsi="Tahoma" w:cs="Tahoma"/>
                <w:b/>
                <w:bCs/>
                <w:sz w:val="23"/>
                <w:szCs w:val="23"/>
              </w:rPr>
            </w:pPr>
          </w:p>
        </w:tc>
        <w:tc>
          <w:tcPr>
            <w:tcW w:w="1255" w:type="dxa"/>
            <w:tcBorders>
              <w:top w:val="nil"/>
              <w:left w:val="nil"/>
              <w:bottom w:val="single" w:sz="4" w:space="0" w:color="auto"/>
              <w:right w:val="nil"/>
            </w:tcBorders>
            <w:shd w:val="clear" w:color="auto" w:fill="auto"/>
            <w:noWrap/>
            <w:vAlign w:val="center"/>
          </w:tcPr>
          <w:p w14:paraId="5F974C4C" w14:textId="77777777" w:rsidR="00C165F8" w:rsidRPr="001707CF" w:rsidRDefault="00C165F8" w:rsidP="008558ED">
            <w:pPr>
              <w:jc w:val="right"/>
              <w:rPr>
                <w:rFonts w:ascii="Tahoma" w:hAnsi="Tahoma" w:cs="Tahoma"/>
                <w:b/>
                <w:bCs/>
                <w:sz w:val="23"/>
                <w:szCs w:val="23"/>
              </w:rPr>
            </w:pPr>
          </w:p>
        </w:tc>
        <w:tc>
          <w:tcPr>
            <w:tcW w:w="2145" w:type="dxa"/>
            <w:tcBorders>
              <w:top w:val="nil"/>
              <w:left w:val="nil"/>
              <w:bottom w:val="single" w:sz="4" w:space="0" w:color="auto"/>
              <w:right w:val="nil"/>
            </w:tcBorders>
            <w:shd w:val="clear" w:color="auto" w:fill="auto"/>
            <w:noWrap/>
            <w:vAlign w:val="center"/>
          </w:tcPr>
          <w:p w14:paraId="4A56E4C3" w14:textId="77777777" w:rsidR="00C165F8" w:rsidRPr="001707CF" w:rsidRDefault="00C165F8" w:rsidP="008558ED">
            <w:pPr>
              <w:jc w:val="right"/>
              <w:rPr>
                <w:rFonts w:ascii="Tahoma" w:hAnsi="Tahoma" w:cs="Tahoma"/>
                <w:b/>
                <w:bCs/>
                <w:sz w:val="23"/>
                <w:szCs w:val="23"/>
                <w:lang w:val="sr-Latn-BA"/>
              </w:rPr>
            </w:pPr>
          </w:p>
        </w:tc>
      </w:tr>
    </w:tbl>
    <w:p w14:paraId="59E4A4A8" w14:textId="77777777" w:rsidR="00C165F8" w:rsidRPr="001707CF" w:rsidRDefault="00C165F8" w:rsidP="00C165F8">
      <w:pPr>
        <w:spacing w:after="120"/>
        <w:jc w:val="both"/>
        <w:rPr>
          <w:rFonts w:ascii="Tahoma" w:hAnsi="Tahoma" w:cs="Tahoma"/>
          <w:sz w:val="23"/>
          <w:szCs w:val="23"/>
          <w:lang w:val="sr-Latn-BA"/>
        </w:rPr>
      </w:pPr>
    </w:p>
    <w:p w14:paraId="338DA178" w14:textId="77777777" w:rsidR="00C165F8" w:rsidRPr="001707CF" w:rsidRDefault="00C165F8" w:rsidP="00C165F8">
      <w:pPr>
        <w:tabs>
          <w:tab w:val="left" w:pos="2109"/>
          <w:tab w:val="left" w:pos="3591"/>
          <w:tab w:val="right" w:pos="8208"/>
        </w:tabs>
        <w:spacing w:after="120"/>
        <w:jc w:val="center"/>
        <w:rPr>
          <w:rFonts w:ascii="Tahoma" w:hAnsi="Tahoma" w:cs="Tahoma"/>
          <w:b/>
          <w:bCs/>
          <w:sz w:val="23"/>
          <w:szCs w:val="23"/>
          <w:lang w:val="sr-Latn-BA"/>
        </w:rPr>
      </w:pPr>
    </w:p>
    <w:p w14:paraId="5B783A4E" w14:textId="77777777" w:rsidR="00C165F8" w:rsidRPr="001707CF" w:rsidRDefault="00C165F8" w:rsidP="00C165F8">
      <w:pPr>
        <w:tabs>
          <w:tab w:val="left" w:pos="2109"/>
          <w:tab w:val="left" w:pos="3591"/>
          <w:tab w:val="right" w:pos="8208"/>
        </w:tabs>
        <w:spacing w:after="120"/>
        <w:jc w:val="center"/>
        <w:rPr>
          <w:rFonts w:ascii="Tahoma" w:hAnsi="Tahoma" w:cs="Tahoma"/>
          <w:b/>
          <w:bCs/>
          <w:sz w:val="23"/>
          <w:szCs w:val="23"/>
          <w:lang w:val="sr-Latn-BA"/>
        </w:rPr>
      </w:pPr>
    </w:p>
    <w:p w14:paraId="2E61A7A4" w14:textId="77777777" w:rsidR="00C165F8" w:rsidRPr="001707CF" w:rsidRDefault="00C165F8" w:rsidP="00C165F8">
      <w:pPr>
        <w:tabs>
          <w:tab w:val="left" w:pos="2109"/>
          <w:tab w:val="left" w:pos="3591"/>
          <w:tab w:val="right" w:pos="8208"/>
        </w:tabs>
        <w:spacing w:after="120"/>
        <w:jc w:val="center"/>
        <w:rPr>
          <w:rFonts w:ascii="Tahoma" w:hAnsi="Tahoma" w:cs="Tahoma"/>
          <w:b/>
          <w:bCs/>
          <w:sz w:val="23"/>
          <w:szCs w:val="23"/>
          <w:lang w:val="sr-Latn-BA"/>
        </w:rPr>
      </w:pPr>
    </w:p>
    <w:p w14:paraId="7369083B" w14:textId="77777777" w:rsidR="00C165F8" w:rsidRPr="001707CF" w:rsidRDefault="00C165F8" w:rsidP="00C165F8">
      <w:pPr>
        <w:tabs>
          <w:tab w:val="left" w:pos="2109"/>
          <w:tab w:val="left" w:pos="3591"/>
          <w:tab w:val="right" w:pos="8208"/>
        </w:tabs>
        <w:spacing w:after="120"/>
        <w:jc w:val="center"/>
        <w:rPr>
          <w:rFonts w:ascii="Tahoma" w:hAnsi="Tahoma" w:cs="Tahoma"/>
          <w:b/>
          <w:bCs/>
          <w:sz w:val="23"/>
          <w:szCs w:val="23"/>
          <w:lang w:val="sr-Latn-BA"/>
        </w:rPr>
      </w:pPr>
    </w:p>
    <w:p w14:paraId="1F6DAE7B" w14:textId="77777777" w:rsidR="00C165F8" w:rsidRPr="001707CF" w:rsidRDefault="00C165F8" w:rsidP="00C165F8">
      <w:pPr>
        <w:tabs>
          <w:tab w:val="left" w:pos="2109"/>
          <w:tab w:val="left" w:pos="3591"/>
          <w:tab w:val="right" w:pos="8208"/>
        </w:tabs>
        <w:spacing w:after="120"/>
        <w:jc w:val="center"/>
        <w:rPr>
          <w:rFonts w:ascii="Tahoma" w:hAnsi="Tahoma" w:cs="Tahoma"/>
          <w:b/>
          <w:bCs/>
          <w:sz w:val="23"/>
          <w:szCs w:val="23"/>
          <w:lang w:val="sr-Latn-BA"/>
        </w:rPr>
      </w:pPr>
    </w:p>
    <w:p w14:paraId="4DCB5FA7" w14:textId="77777777" w:rsidR="00C165F8" w:rsidRPr="001707CF" w:rsidRDefault="00C165F8" w:rsidP="00C165F8">
      <w:pPr>
        <w:tabs>
          <w:tab w:val="left" w:pos="2109"/>
          <w:tab w:val="left" w:pos="3591"/>
          <w:tab w:val="right" w:pos="8208"/>
        </w:tabs>
        <w:spacing w:after="120"/>
        <w:jc w:val="center"/>
        <w:rPr>
          <w:rFonts w:ascii="Tahoma" w:hAnsi="Tahoma" w:cs="Tahoma"/>
          <w:b/>
          <w:bCs/>
          <w:sz w:val="23"/>
          <w:szCs w:val="23"/>
          <w:lang w:val="sr-Latn-BA"/>
        </w:rPr>
      </w:pPr>
    </w:p>
    <w:p w14:paraId="0E2161A3" w14:textId="77777777" w:rsidR="00C165F8" w:rsidRPr="001707CF" w:rsidRDefault="00C165F8" w:rsidP="00C165F8">
      <w:pPr>
        <w:numPr>
          <w:ilvl w:val="0"/>
          <w:numId w:val="22"/>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KRETANjE VRIJEDNOSTI IMOVINE FONDA</w:t>
      </w:r>
    </w:p>
    <w:p w14:paraId="31AB6722" w14:textId="77777777" w:rsidR="00C165F8" w:rsidRPr="001707CF" w:rsidRDefault="00C165F8" w:rsidP="00C165F8">
      <w:pPr>
        <w:autoSpaceDE w:val="0"/>
        <w:autoSpaceDN w:val="0"/>
        <w:adjustRightInd w:val="0"/>
        <w:spacing w:after="120"/>
        <w:rPr>
          <w:rFonts w:ascii="Tahoma" w:hAnsi="Tahoma" w:cs="Tahoma"/>
          <w:sz w:val="23"/>
          <w:szCs w:val="23"/>
          <w:lang w:val="sr-Latn-BA"/>
        </w:rPr>
      </w:pPr>
      <w:r w:rsidRPr="001707CF">
        <w:rPr>
          <w:rFonts w:ascii="Tahoma" w:hAnsi="Tahoma" w:cs="Tahoma"/>
          <w:bCs/>
          <w:sz w:val="23"/>
          <w:szCs w:val="23"/>
          <w:lang w:val="sr-Latn-BA"/>
        </w:rPr>
        <w:t>Izvještaj o najvišoj i najnižoj vrijednosti imovine fonda</w:t>
      </w:r>
      <w:r w:rsidRPr="001707CF">
        <w:rPr>
          <w:rFonts w:ascii="Tahoma" w:hAnsi="Tahoma" w:cs="Tahoma"/>
          <w:sz w:val="23"/>
          <w:szCs w:val="23"/>
          <w:lang w:val="sr-Latn-BA"/>
        </w:rPr>
        <w:t xml:space="preserve"> dat je u sljedećoj tabeli: </w:t>
      </w:r>
    </w:p>
    <w:p w14:paraId="17A050AE" w14:textId="77777777" w:rsidR="00C165F8" w:rsidRPr="001707CF" w:rsidRDefault="00C165F8" w:rsidP="00C165F8">
      <w:pPr>
        <w:tabs>
          <w:tab w:val="left" w:pos="8364"/>
        </w:tabs>
        <w:spacing w:after="120"/>
        <w:ind w:right="1"/>
        <w:jc w:val="right"/>
        <w:rPr>
          <w:rFonts w:ascii="Tahoma" w:hAnsi="Tahoma" w:cs="Tahoma"/>
          <w:i/>
          <w:sz w:val="23"/>
          <w:szCs w:val="23"/>
          <w:lang w:val="sr-Latn-BA"/>
        </w:rPr>
      </w:pPr>
      <w:r w:rsidRPr="001707CF">
        <w:rPr>
          <w:rFonts w:ascii="Tahoma" w:hAnsi="Tahoma" w:cs="Tahoma"/>
          <w:i/>
          <w:sz w:val="23"/>
          <w:szCs w:val="23"/>
          <w:lang w:val="sr-Latn-BA"/>
        </w:rPr>
        <w:t>(u KM)</w:t>
      </w:r>
    </w:p>
    <w:tbl>
      <w:tblPr>
        <w:tblW w:w="10456"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369"/>
        <w:gridCol w:w="1275"/>
        <w:gridCol w:w="1560"/>
        <w:gridCol w:w="1448"/>
        <w:gridCol w:w="1497"/>
        <w:gridCol w:w="1307"/>
      </w:tblGrid>
      <w:tr w:rsidR="00C165F8" w:rsidRPr="001707CF" w14:paraId="6B6765C5" w14:textId="77777777" w:rsidTr="008558ED">
        <w:trPr>
          <w:trHeight w:val="256"/>
        </w:trPr>
        <w:tc>
          <w:tcPr>
            <w:tcW w:w="3369" w:type="dxa"/>
            <w:vMerge w:val="restart"/>
            <w:shd w:val="clear" w:color="auto" w:fill="auto"/>
            <w:vAlign w:val="center"/>
            <w:hideMark/>
          </w:tcPr>
          <w:p w14:paraId="7C43E811" w14:textId="77777777" w:rsidR="00C165F8" w:rsidRPr="001707CF" w:rsidRDefault="00C165F8" w:rsidP="008558ED">
            <w:pPr>
              <w:jc w:val="center"/>
              <w:rPr>
                <w:rFonts w:ascii="Tahoma" w:hAnsi="Tahoma" w:cs="Tahoma"/>
                <w:noProof/>
                <w:sz w:val="23"/>
                <w:szCs w:val="23"/>
                <w:lang w:val="sr-Latn-BA"/>
              </w:rPr>
            </w:pPr>
            <w:r w:rsidRPr="001707CF">
              <w:rPr>
                <w:rFonts w:ascii="Tahoma" w:hAnsi="Tahoma" w:cs="Tahoma"/>
                <w:noProof/>
                <w:sz w:val="23"/>
                <w:szCs w:val="23"/>
                <w:lang w:val="sr-Latn-BA"/>
              </w:rPr>
              <w:t>Opis</w:t>
            </w:r>
          </w:p>
        </w:tc>
        <w:tc>
          <w:tcPr>
            <w:tcW w:w="1275" w:type="dxa"/>
            <w:vMerge w:val="restart"/>
            <w:shd w:val="clear" w:color="auto" w:fill="auto"/>
            <w:vAlign w:val="center"/>
            <w:hideMark/>
          </w:tcPr>
          <w:p w14:paraId="542AD19B" w14:textId="77777777" w:rsidR="00C165F8" w:rsidRPr="001707CF" w:rsidRDefault="00C165F8" w:rsidP="008558ED">
            <w:pPr>
              <w:jc w:val="center"/>
              <w:rPr>
                <w:rFonts w:ascii="Tahoma" w:hAnsi="Tahoma" w:cs="Tahoma"/>
                <w:noProof/>
                <w:sz w:val="23"/>
                <w:szCs w:val="23"/>
                <w:lang w:val="sr-Latn-BA"/>
              </w:rPr>
            </w:pPr>
            <w:r w:rsidRPr="001707CF">
              <w:rPr>
                <w:rFonts w:ascii="Tahoma" w:hAnsi="Tahoma" w:cs="Tahoma"/>
                <w:noProof/>
                <w:sz w:val="23"/>
                <w:szCs w:val="23"/>
                <w:lang w:val="sr-Latn-BA"/>
              </w:rPr>
              <w:t>Tekuća godina</w:t>
            </w:r>
          </w:p>
        </w:tc>
        <w:tc>
          <w:tcPr>
            <w:tcW w:w="1560" w:type="dxa"/>
            <w:vMerge w:val="restart"/>
            <w:shd w:val="clear" w:color="auto" w:fill="auto"/>
            <w:vAlign w:val="center"/>
            <w:hideMark/>
          </w:tcPr>
          <w:p w14:paraId="09B803D9" w14:textId="77777777" w:rsidR="00C165F8" w:rsidRPr="001707CF" w:rsidRDefault="00C165F8" w:rsidP="008558ED">
            <w:pPr>
              <w:jc w:val="center"/>
              <w:rPr>
                <w:rFonts w:ascii="Tahoma" w:hAnsi="Tahoma" w:cs="Tahoma"/>
                <w:noProof/>
                <w:sz w:val="23"/>
                <w:szCs w:val="23"/>
                <w:lang w:val="sr-Latn-BA"/>
              </w:rPr>
            </w:pPr>
            <w:r w:rsidRPr="001707CF">
              <w:rPr>
                <w:rFonts w:ascii="Tahoma" w:hAnsi="Tahoma" w:cs="Tahoma"/>
                <w:noProof/>
                <w:sz w:val="23"/>
                <w:szCs w:val="23"/>
                <w:lang w:val="sr-Latn-BA"/>
              </w:rPr>
              <w:t>Prethodna godina</w:t>
            </w:r>
          </w:p>
        </w:tc>
        <w:tc>
          <w:tcPr>
            <w:tcW w:w="4252" w:type="dxa"/>
            <w:gridSpan w:val="3"/>
            <w:shd w:val="clear" w:color="auto" w:fill="auto"/>
            <w:vAlign w:val="bottom"/>
            <w:hideMark/>
          </w:tcPr>
          <w:p w14:paraId="73785BD1" w14:textId="77777777" w:rsidR="00C165F8" w:rsidRPr="001707CF" w:rsidRDefault="00C165F8" w:rsidP="008558ED">
            <w:pPr>
              <w:jc w:val="center"/>
              <w:rPr>
                <w:rFonts w:ascii="Tahoma" w:hAnsi="Tahoma" w:cs="Tahoma"/>
                <w:noProof/>
                <w:sz w:val="23"/>
                <w:szCs w:val="23"/>
                <w:lang w:val="sr-Latn-BA"/>
              </w:rPr>
            </w:pPr>
            <w:r w:rsidRPr="001707CF">
              <w:rPr>
                <w:rFonts w:ascii="Tahoma" w:hAnsi="Tahoma" w:cs="Tahoma"/>
                <w:noProof/>
                <w:sz w:val="23"/>
                <w:szCs w:val="23"/>
                <w:lang w:val="sr-Latn-BA"/>
              </w:rPr>
              <w:t>Ranije tri godine</w:t>
            </w:r>
          </w:p>
        </w:tc>
      </w:tr>
      <w:tr w:rsidR="00C165F8" w:rsidRPr="001707CF" w14:paraId="61CC0FC6" w14:textId="77777777" w:rsidTr="008558ED">
        <w:trPr>
          <w:trHeight w:val="256"/>
        </w:trPr>
        <w:tc>
          <w:tcPr>
            <w:tcW w:w="3369" w:type="dxa"/>
            <w:vMerge/>
            <w:vAlign w:val="center"/>
            <w:hideMark/>
          </w:tcPr>
          <w:p w14:paraId="78B838B7" w14:textId="77777777" w:rsidR="00C165F8" w:rsidRPr="001707CF" w:rsidRDefault="00C165F8" w:rsidP="008558ED">
            <w:pPr>
              <w:rPr>
                <w:rFonts w:ascii="Tahoma" w:hAnsi="Tahoma" w:cs="Tahoma"/>
                <w:noProof/>
                <w:sz w:val="23"/>
                <w:szCs w:val="23"/>
                <w:lang w:val="sr-Latn-BA"/>
              </w:rPr>
            </w:pPr>
          </w:p>
        </w:tc>
        <w:tc>
          <w:tcPr>
            <w:tcW w:w="1275" w:type="dxa"/>
            <w:vMerge/>
            <w:vAlign w:val="center"/>
            <w:hideMark/>
          </w:tcPr>
          <w:p w14:paraId="4E64B1F3" w14:textId="77777777" w:rsidR="00C165F8" w:rsidRPr="001707CF" w:rsidRDefault="00C165F8" w:rsidP="008558ED">
            <w:pPr>
              <w:rPr>
                <w:rFonts w:ascii="Tahoma" w:hAnsi="Tahoma" w:cs="Tahoma"/>
                <w:noProof/>
                <w:sz w:val="23"/>
                <w:szCs w:val="23"/>
                <w:lang w:val="sr-Latn-BA"/>
              </w:rPr>
            </w:pPr>
          </w:p>
        </w:tc>
        <w:tc>
          <w:tcPr>
            <w:tcW w:w="1560" w:type="dxa"/>
            <w:vMerge/>
            <w:vAlign w:val="center"/>
            <w:hideMark/>
          </w:tcPr>
          <w:p w14:paraId="080B9FA8" w14:textId="77777777" w:rsidR="00C165F8" w:rsidRPr="001707CF" w:rsidRDefault="00C165F8" w:rsidP="008558ED">
            <w:pPr>
              <w:rPr>
                <w:rFonts w:ascii="Tahoma" w:hAnsi="Tahoma" w:cs="Tahoma"/>
                <w:noProof/>
                <w:sz w:val="23"/>
                <w:szCs w:val="23"/>
                <w:lang w:val="sr-Latn-BA"/>
              </w:rPr>
            </w:pPr>
          </w:p>
        </w:tc>
        <w:tc>
          <w:tcPr>
            <w:tcW w:w="1448" w:type="dxa"/>
            <w:shd w:val="clear" w:color="auto" w:fill="auto"/>
            <w:noWrap/>
            <w:vAlign w:val="bottom"/>
            <w:hideMark/>
          </w:tcPr>
          <w:p w14:paraId="40F8A47B" w14:textId="77777777" w:rsidR="00C165F8" w:rsidRPr="001707CF" w:rsidRDefault="00C165F8" w:rsidP="008558ED">
            <w:pPr>
              <w:jc w:val="center"/>
              <w:rPr>
                <w:rFonts w:ascii="Tahoma" w:hAnsi="Tahoma" w:cs="Tahoma"/>
                <w:noProof/>
                <w:sz w:val="23"/>
                <w:szCs w:val="23"/>
                <w:lang w:val="sr-Latn-BA"/>
              </w:rPr>
            </w:pPr>
            <w:r w:rsidRPr="001707CF">
              <w:rPr>
                <w:rFonts w:ascii="Tahoma" w:hAnsi="Tahoma" w:cs="Tahoma"/>
                <w:noProof/>
                <w:sz w:val="23"/>
                <w:szCs w:val="23"/>
                <w:lang w:val="sr-Latn-BA"/>
              </w:rPr>
              <w:t>202</w:t>
            </w:r>
            <w:r>
              <w:rPr>
                <w:rFonts w:ascii="Tahoma" w:hAnsi="Tahoma" w:cs="Tahoma"/>
                <w:noProof/>
                <w:sz w:val="23"/>
                <w:szCs w:val="23"/>
                <w:lang w:val="sr-Latn-BA"/>
              </w:rPr>
              <w:t>2</w:t>
            </w:r>
          </w:p>
        </w:tc>
        <w:tc>
          <w:tcPr>
            <w:tcW w:w="1497" w:type="dxa"/>
            <w:shd w:val="clear" w:color="auto" w:fill="auto"/>
            <w:noWrap/>
            <w:vAlign w:val="bottom"/>
            <w:hideMark/>
          </w:tcPr>
          <w:p w14:paraId="1DCAE238" w14:textId="77777777" w:rsidR="00C165F8" w:rsidRPr="001707CF" w:rsidRDefault="00C165F8" w:rsidP="008558ED">
            <w:pPr>
              <w:jc w:val="center"/>
              <w:rPr>
                <w:rFonts w:ascii="Tahoma" w:hAnsi="Tahoma" w:cs="Tahoma"/>
                <w:noProof/>
                <w:sz w:val="23"/>
                <w:szCs w:val="23"/>
                <w:lang w:val="sr-Latn-BA"/>
              </w:rPr>
            </w:pPr>
            <w:r>
              <w:rPr>
                <w:rFonts w:ascii="Tahoma" w:hAnsi="Tahoma" w:cs="Tahoma"/>
                <w:noProof/>
                <w:sz w:val="23"/>
                <w:szCs w:val="23"/>
                <w:lang w:val="sr-Latn-BA"/>
              </w:rPr>
              <w:t>2021</w:t>
            </w:r>
          </w:p>
        </w:tc>
        <w:tc>
          <w:tcPr>
            <w:tcW w:w="1307" w:type="dxa"/>
            <w:shd w:val="clear" w:color="auto" w:fill="auto"/>
            <w:noWrap/>
            <w:vAlign w:val="bottom"/>
            <w:hideMark/>
          </w:tcPr>
          <w:p w14:paraId="0B554887" w14:textId="77777777" w:rsidR="00C165F8" w:rsidRPr="001707CF" w:rsidRDefault="00C165F8" w:rsidP="008558ED">
            <w:pPr>
              <w:jc w:val="center"/>
              <w:rPr>
                <w:rFonts w:ascii="Tahoma" w:hAnsi="Tahoma" w:cs="Tahoma"/>
                <w:noProof/>
                <w:sz w:val="23"/>
                <w:szCs w:val="23"/>
                <w:lang w:val="sr-Latn-BA"/>
              </w:rPr>
            </w:pPr>
            <w:r w:rsidRPr="001707CF">
              <w:rPr>
                <w:rFonts w:ascii="Tahoma" w:hAnsi="Tahoma" w:cs="Tahoma"/>
                <w:noProof/>
                <w:sz w:val="23"/>
                <w:szCs w:val="23"/>
                <w:lang w:val="sr-Latn-BA"/>
              </w:rPr>
              <w:t>201</w:t>
            </w:r>
            <w:r>
              <w:rPr>
                <w:rFonts w:ascii="Tahoma" w:hAnsi="Tahoma" w:cs="Tahoma"/>
                <w:noProof/>
                <w:sz w:val="23"/>
                <w:szCs w:val="23"/>
                <w:lang w:val="sr-Latn-BA"/>
              </w:rPr>
              <w:t>0</w:t>
            </w:r>
          </w:p>
        </w:tc>
      </w:tr>
      <w:tr w:rsidR="00C165F8" w:rsidRPr="001707CF" w14:paraId="108B6DD0" w14:textId="77777777" w:rsidTr="008558ED">
        <w:trPr>
          <w:trHeight w:val="256"/>
        </w:trPr>
        <w:tc>
          <w:tcPr>
            <w:tcW w:w="3369" w:type="dxa"/>
            <w:shd w:val="clear" w:color="auto" w:fill="auto"/>
            <w:noWrap/>
            <w:vAlign w:val="bottom"/>
            <w:hideMark/>
          </w:tcPr>
          <w:p w14:paraId="6C8609A0" w14:textId="77777777" w:rsidR="00C165F8" w:rsidRPr="001707CF" w:rsidRDefault="00C165F8" w:rsidP="008558ED">
            <w:pPr>
              <w:rPr>
                <w:rFonts w:ascii="Tahoma" w:hAnsi="Tahoma" w:cs="Tahoma"/>
                <w:noProof/>
                <w:sz w:val="23"/>
                <w:szCs w:val="23"/>
                <w:lang w:val="sr-Latn-BA"/>
              </w:rPr>
            </w:pPr>
            <w:r w:rsidRPr="001707CF">
              <w:rPr>
                <w:rFonts w:ascii="Tahoma" w:hAnsi="Tahoma" w:cs="Tahoma"/>
                <w:noProof/>
                <w:sz w:val="23"/>
                <w:szCs w:val="23"/>
                <w:lang w:val="sr-Latn-BA"/>
              </w:rPr>
              <w:t>Najniža vrijednost imovine fonda</w:t>
            </w:r>
          </w:p>
        </w:tc>
        <w:tc>
          <w:tcPr>
            <w:tcW w:w="1275" w:type="dxa"/>
            <w:shd w:val="clear" w:color="auto" w:fill="auto"/>
            <w:noWrap/>
            <w:vAlign w:val="bottom"/>
          </w:tcPr>
          <w:p w14:paraId="6D2C3223" w14:textId="77777777" w:rsidR="00C165F8" w:rsidRPr="006870F7" w:rsidRDefault="00C165F8" w:rsidP="008558ED">
            <w:pPr>
              <w:jc w:val="right"/>
              <w:rPr>
                <w:rFonts w:ascii="Tahoma" w:hAnsi="Tahoma" w:cs="Tahoma"/>
                <w:noProof/>
                <w:sz w:val="20"/>
                <w:szCs w:val="20"/>
                <w:lang w:val="sr-Latn-BA"/>
              </w:rPr>
            </w:pPr>
            <w:r w:rsidRPr="006870F7">
              <w:rPr>
                <w:rFonts w:ascii="Tahoma" w:hAnsi="Tahoma" w:cs="Tahoma"/>
                <w:noProof/>
                <w:sz w:val="20"/>
                <w:szCs w:val="20"/>
                <w:lang w:val="sr-Latn-BA"/>
              </w:rPr>
              <w:t>6.939.645</w:t>
            </w:r>
          </w:p>
        </w:tc>
        <w:tc>
          <w:tcPr>
            <w:tcW w:w="1560" w:type="dxa"/>
            <w:shd w:val="clear" w:color="auto" w:fill="auto"/>
            <w:noWrap/>
            <w:vAlign w:val="bottom"/>
          </w:tcPr>
          <w:p w14:paraId="538C6206" w14:textId="77777777" w:rsidR="00C165F8" w:rsidRPr="001707CF" w:rsidRDefault="00C165F8" w:rsidP="008558ED">
            <w:pPr>
              <w:jc w:val="right"/>
              <w:rPr>
                <w:rFonts w:ascii="Tahoma" w:hAnsi="Tahoma" w:cs="Tahoma"/>
                <w:noProof/>
                <w:sz w:val="23"/>
                <w:szCs w:val="23"/>
                <w:lang w:val="sr-Latn-BA"/>
              </w:rPr>
            </w:pPr>
            <w:r w:rsidRPr="001707CF">
              <w:rPr>
                <w:rFonts w:ascii="Tahoma" w:hAnsi="Tahoma" w:cs="Tahoma"/>
                <w:sz w:val="23"/>
                <w:szCs w:val="23"/>
              </w:rPr>
              <w:t>6.050.032</w:t>
            </w:r>
          </w:p>
        </w:tc>
        <w:tc>
          <w:tcPr>
            <w:tcW w:w="1448" w:type="dxa"/>
            <w:shd w:val="clear" w:color="auto" w:fill="auto"/>
            <w:noWrap/>
            <w:vAlign w:val="bottom"/>
          </w:tcPr>
          <w:p w14:paraId="4B995D04" w14:textId="77777777" w:rsidR="00C165F8" w:rsidRPr="001707CF" w:rsidRDefault="00C165F8" w:rsidP="008558ED">
            <w:pPr>
              <w:jc w:val="right"/>
              <w:rPr>
                <w:rFonts w:ascii="Tahoma" w:hAnsi="Tahoma" w:cs="Tahoma"/>
                <w:noProof/>
                <w:sz w:val="23"/>
                <w:szCs w:val="23"/>
                <w:lang w:val="sr-Latn-BA"/>
              </w:rPr>
            </w:pPr>
            <w:r w:rsidRPr="001707CF">
              <w:rPr>
                <w:rFonts w:ascii="Tahoma" w:hAnsi="Tahoma" w:cs="Tahoma"/>
                <w:noProof/>
                <w:sz w:val="23"/>
                <w:szCs w:val="23"/>
                <w:lang w:val="sr-Latn-BA"/>
              </w:rPr>
              <w:t>3.481.768</w:t>
            </w:r>
          </w:p>
        </w:tc>
        <w:tc>
          <w:tcPr>
            <w:tcW w:w="1497" w:type="dxa"/>
            <w:shd w:val="clear" w:color="auto" w:fill="auto"/>
            <w:noWrap/>
            <w:vAlign w:val="bottom"/>
          </w:tcPr>
          <w:p w14:paraId="55923E50" w14:textId="77777777" w:rsidR="00C165F8" w:rsidRPr="001707CF" w:rsidRDefault="00C165F8" w:rsidP="008558ED">
            <w:pPr>
              <w:jc w:val="right"/>
              <w:rPr>
                <w:rFonts w:ascii="Tahoma" w:hAnsi="Tahoma" w:cs="Tahoma"/>
                <w:noProof/>
                <w:sz w:val="23"/>
                <w:szCs w:val="23"/>
                <w:lang w:val="sr-Latn-BA"/>
              </w:rPr>
            </w:pPr>
            <w:r w:rsidRPr="001707CF">
              <w:rPr>
                <w:rFonts w:ascii="Tahoma" w:hAnsi="Tahoma" w:cs="Tahoma"/>
                <w:noProof/>
                <w:sz w:val="23"/>
                <w:szCs w:val="23"/>
                <w:lang w:val="sr-Latn-BA"/>
              </w:rPr>
              <w:t>3.046.888</w:t>
            </w:r>
          </w:p>
        </w:tc>
        <w:tc>
          <w:tcPr>
            <w:tcW w:w="1307" w:type="dxa"/>
            <w:shd w:val="clear" w:color="auto" w:fill="auto"/>
            <w:noWrap/>
            <w:vAlign w:val="bottom"/>
            <w:hideMark/>
          </w:tcPr>
          <w:p w14:paraId="666D776D" w14:textId="77777777" w:rsidR="00C165F8" w:rsidRPr="001707CF" w:rsidRDefault="00C165F8" w:rsidP="008558ED">
            <w:pPr>
              <w:jc w:val="right"/>
              <w:rPr>
                <w:rFonts w:ascii="Tahoma" w:hAnsi="Tahoma" w:cs="Tahoma"/>
                <w:noProof/>
                <w:sz w:val="23"/>
                <w:szCs w:val="23"/>
                <w:lang w:val="sr-Latn-BA"/>
              </w:rPr>
            </w:pPr>
            <w:r w:rsidRPr="001707CF">
              <w:rPr>
                <w:rFonts w:ascii="Tahoma" w:hAnsi="Tahoma" w:cs="Tahoma"/>
                <w:noProof/>
                <w:sz w:val="23"/>
                <w:szCs w:val="23"/>
                <w:lang w:val="sr-Latn-BA"/>
              </w:rPr>
              <w:t>3.762.486</w:t>
            </w:r>
          </w:p>
        </w:tc>
      </w:tr>
      <w:tr w:rsidR="00C165F8" w:rsidRPr="001707CF" w14:paraId="14F9DE23" w14:textId="77777777" w:rsidTr="008558ED">
        <w:trPr>
          <w:trHeight w:val="256"/>
        </w:trPr>
        <w:tc>
          <w:tcPr>
            <w:tcW w:w="3369" w:type="dxa"/>
            <w:shd w:val="clear" w:color="auto" w:fill="auto"/>
            <w:noWrap/>
            <w:vAlign w:val="bottom"/>
            <w:hideMark/>
          </w:tcPr>
          <w:p w14:paraId="5000768A" w14:textId="77777777" w:rsidR="00C165F8" w:rsidRPr="001707CF" w:rsidRDefault="00C165F8" w:rsidP="008558ED">
            <w:pPr>
              <w:rPr>
                <w:rFonts w:ascii="Tahoma" w:hAnsi="Tahoma" w:cs="Tahoma"/>
                <w:noProof/>
                <w:sz w:val="23"/>
                <w:szCs w:val="23"/>
                <w:lang w:val="sr-Latn-BA"/>
              </w:rPr>
            </w:pPr>
            <w:r w:rsidRPr="001707CF">
              <w:rPr>
                <w:rFonts w:ascii="Tahoma" w:hAnsi="Tahoma" w:cs="Tahoma"/>
                <w:noProof/>
                <w:sz w:val="23"/>
                <w:szCs w:val="23"/>
                <w:lang w:val="sr-Latn-BA"/>
              </w:rPr>
              <w:t>Najviša vrijednost imovine fonda</w:t>
            </w:r>
          </w:p>
        </w:tc>
        <w:tc>
          <w:tcPr>
            <w:tcW w:w="1275" w:type="dxa"/>
            <w:shd w:val="clear" w:color="auto" w:fill="auto"/>
            <w:noWrap/>
            <w:vAlign w:val="bottom"/>
          </w:tcPr>
          <w:p w14:paraId="3CD06BE4" w14:textId="77777777" w:rsidR="00C165F8" w:rsidRPr="006870F7" w:rsidRDefault="00C165F8" w:rsidP="008558ED">
            <w:pPr>
              <w:jc w:val="right"/>
              <w:rPr>
                <w:rFonts w:ascii="Tahoma" w:hAnsi="Tahoma" w:cs="Tahoma"/>
                <w:noProof/>
                <w:sz w:val="20"/>
                <w:szCs w:val="20"/>
                <w:lang w:val="sr-Latn-BA"/>
              </w:rPr>
            </w:pPr>
            <w:r w:rsidRPr="006870F7">
              <w:rPr>
                <w:rFonts w:ascii="Tahoma" w:hAnsi="Tahoma" w:cs="Tahoma"/>
                <w:noProof/>
                <w:sz w:val="20"/>
                <w:szCs w:val="20"/>
                <w:lang w:val="sr-Latn-BA"/>
              </w:rPr>
              <w:t>7.089.</w:t>
            </w:r>
            <w:r>
              <w:rPr>
                <w:rFonts w:ascii="Tahoma" w:hAnsi="Tahoma" w:cs="Tahoma"/>
                <w:noProof/>
                <w:sz w:val="20"/>
                <w:szCs w:val="20"/>
                <w:lang w:val="sr-Latn-BA"/>
              </w:rPr>
              <w:t>463</w:t>
            </w:r>
          </w:p>
        </w:tc>
        <w:tc>
          <w:tcPr>
            <w:tcW w:w="1560" w:type="dxa"/>
            <w:shd w:val="clear" w:color="auto" w:fill="auto"/>
            <w:noWrap/>
            <w:vAlign w:val="bottom"/>
          </w:tcPr>
          <w:p w14:paraId="22C7E8EA" w14:textId="77777777" w:rsidR="00C165F8" w:rsidRPr="001707CF" w:rsidRDefault="00C165F8" w:rsidP="008558ED">
            <w:pPr>
              <w:jc w:val="right"/>
              <w:rPr>
                <w:rFonts w:ascii="Tahoma" w:hAnsi="Tahoma" w:cs="Tahoma"/>
                <w:noProof/>
                <w:sz w:val="23"/>
                <w:szCs w:val="23"/>
                <w:lang w:val="sr-Latn-BA"/>
              </w:rPr>
            </w:pPr>
            <w:r w:rsidRPr="001707CF">
              <w:rPr>
                <w:rFonts w:ascii="Tahoma" w:hAnsi="Tahoma" w:cs="Tahoma"/>
                <w:sz w:val="23"/>
                <w:szCs w:val="23"/>
              </w:rPr>
              <w:t>6.945.167</w:t>
            </w:r>
          </w:p>
        </w:tc>
        <w:tc>
          <w:tcPr>
            <w:tcW w:w="1448" w:type="dxa"/>
            <w:shd w:val="clear" w:color="auto" w:fill="auto"/>
            <w:noWrap/>
            <w:vAlign w:val="bottom"/>
          </w:tcPr>
          <w:p w14:paraId="6A3F1FBD" w14:textId="77777777" w:rsidR="00C165F8" w:rsidRPr="001707CF" w:rsidRDefault="00C165F8" w:rsidP="008558ED">
            <w:pPr>
              <w:jc w:val="right"/>
              <w:rPr>
                <w:rFonts w:ascii="Tahoma" w:hAnsi="Tahoma" w:cs="Tahoma"/>
                <w:noProof/>
                <w:sz w:val="23"/>
                <w:szCs w:val="23"/>
                <w:lang w:val="sr-Latn-BA"/>
              </w:rPr>
            </w:pPr>
            <w:r w:rsidRPr="001707CF">
              <w:rPr>
                <w:rFonts w:ascii="Tahoma" w:hAnsi="Tahoma" w:cs="Tahoma"/>
                <w:noProof/>
                <w:sz w:val="23"/>
                <w:szCs w:val="23"/>
                <w:lang w:val="sr-Latn-BA"/>
              </w:rPr>
              <w:t>6.832.470</w:t>
            </w:r>
          </w:p>
        </w:tc>
        <w:tc>
          <w:tcPr>
            <w:tcW w:w="1497" w:type="dxa"/>
            <w:shd w:val="clear" w:color="auto" w:fill="auto"/>
            <w:noWrap/>
            <w:vAlign w:val="bottom"/>
          </w:tcPr>
          <w:p w14:paraId="12B1817C" w14:textId="77777777" w:rsidR="00C165F8" w:rsidRPr="001707CF" w:rsidRDefault="00C165F8" w:rsidP="008558ED">
            <w:pPr>
              <w:jc w:val="right"/>
              <w:rPr>
                <w:rFonts w:ascii="Tahoma" w:hAnsi="Tahoma" w:cs="Tahoma"/>
                <w:noProof/>
                <w:sz w:val="23"/>
                <w:szCs w:val="23"/>
                <w:lang w:val="sr-Latn-BA"/>
              </w:rPr>
            </w:pPr>
            <w:r w:rsidRPr="001707CF">
              <w:rPr>
                <w:rFonts w:ascii="Tahoma" w:hAnsi="Tahoma" w:cs="Tahoma"/>
                <w:noProof/>
                <w:sz w:val="23"/>
                <w:szCs w:val="23"/>
                <w:lang w:val="sr-Latn-BA"/>
              </w:rPr>
              <w:t>4.041.780</w:t>
            </w:r>
          </w:p>
        </w:tc>
        <w:tc>
          <w:tcPr>
            <w:tcW w:w="1307" w:type="dxa"/>
            <w:shd w:val="clear" w:color="auto" w:fill="auto"/>
            <w:noWrap/>
            <w:vAlign w:val="bottom"/>
            <w:hideMark/>
          </w:tcPr>
          <w:p w14:paraId="3EC13422" w14:textId="77777777" w:rsidR="00C165F8" w:rsidRPr="001707CF" w:rsidRDefault="00C165F8" w:rsidP="008558ED">
            <w:pPr>
              <w:jc w:val="right"/>
              <w:rPr>
                <w:rFonts w:ascii="Tahoma" w:hAnsi="Tahoma" w:cs="Tahoma"/>
                <w:noProof/>
                <w:sz w:val="23"/>
                <w:szCs w:val="23"/>
                <w:lang w:val="sr-Latn-BA"/>
              </w:rPr>
            </w:pPr>
            <w:r w:rsidRPr="001707CF">
              <w:rPr>
                <w:rFonts w:ascii="Tahoma" w:hAnsi="Tahoma" w:cs="Tahoma"/>
                <w:noProof/>
                <w:sz w:val="23"/>
                <w:szCs w:val="23"/>
                <w:lang w:val="sr-Latn-BA"/>
              </w:rPr>
              <w:t>5.952.034</w:t>
            </w:r>
          </w:p>
        </w:tc>
      </w:tr>
      <w:tr w:rsidR="00C165F8" w:rsidRPr="001707CF" w14:paraId="31857847" w14:textId="77777777" w:rsidTr="008558ED">
        <w:trPr>
          <w:trHeight w:val="256"/>
        </w:trPr>
        <w:tc>
          <w:tcPr>
            <w:tcW w:w="3369" w:type="dxa"/>
            <w:shd w:val="clear" w:color="auto" w:fill="auto"/>
            <w:noWrap/>
            <w:vAlign w:val="bottom"/>
            <w:hideMark/>
          </w:tcPr>
          <w:p w14:paraId="50CB99C3" w14:textId="77777777" w:rsidR="00C165F8" w:rsidRPr="001707CF" w:rsidRDefault="00C165F8" w:rsidP="008558ED">
            <w:pPr>
              <w:rPr>
                <w:rFonts w:ascii="Tahoma" w:hAnsi="Tahoma" w:cs="Tahoma"/>
                <w:noProof/>
                <w:sz w:val="23"/>
                <w:szCs w:val="23"/>
                <w:lang w:val="sr-Latn-BA"/>
              </w:rPr>
            </w:pPr>
            <w:r w:rsidRPr="001707CF">
              <w:rPr>
                <w:rFonts w:ascii="Tahoma" w:hAnsi="Tahoma" w:cs="Tahoma"/>
                <w:noProof/>
                <w:sz w:val="23"/>
                <w:szCs w:val="23"/>
                <w:lang w:val="sr-Latn-BA"/>
              </w:rPr>
              <w:t>Najniža cijena po akciji / udjelu</w:t>
            </w:r>
          </w:p>
        </w:tc>
        <w:tc>
          <w:tcPr>
            <w:tcW w:w="1275" w:type="dxa"/>
            <w:shd w:val="clear" w:color="auto" w:fill="auto"/>
            <w:noWrap/>
            <w:vAlign w:val="bottom"/>
          </w:tcPr>
          <w:p w14:paraId="2DD6BEC2" w14:textId="77777777" w:rsidR="00C165F8" w:rsidRPr="006870F7" w:rsidRDefault="00C165F8" w:rsidP="008558ED">
            <w:pPr>
              <w:jc w:val="right"/>
              <w:rPr>
                <w:rFonts w:ascii="Tahoma" w:hAnsi="Tahoma" w:cs="Tahoma"/>
                <w:noProof/>
                <w:sz w:val="20"/>
                <w:szCs w:val="20"/>
                <w:lang w:val="sr-Latn-BA"/>
              </w:rPr>
            </w:pPr>
            <w:r w:rsidRPr="006870F7">
              <w:rPr>
                <w:rFonts w:ascii="Tahoma" w:hAnsi="Tahoma" w:cs="Tahoma"/>
                <w:noProof/>
                <w:sz w:val="20"/>
                <w:szCs w:val="20"/>
                <w:lang w:val="sr-Latn-BA"/>
              </w:rPr>
              <w:t>3,3</w:t>
            </w:r>
            <w:r>
              <w:rPr>
                <w:rFonts w:ascii="Tahoma" w:hAnsi="Tahoma" w:cs="Tahoma"/>
                <w:noProof/>
                <w:sz w:val="20"/>
                <w:szCs w:val="20"/>
                <w:lang w:val="sr-Latn-BA"/>
              </w:rPr>
              <w:t>1</w:t>
            </w:r>
          </w:p>
        </w:tc>
        <w:tc>
          <w:tcPr>
            <w:tcW w:w="1560" w:type="dxa"/>
            <w:shd w:val="clear" w:color="auto" w:fill="auto"/>
            <w:noWrap/>
            <w:vAlign w:val="bottom"/>
          </w:tcPr>
          <w:p w14:paraId="2260E80D" w14:textId="77777777" w:rsidR="00C165F8" w:rsidRPr="001707CF" w:rsidRDefault="00C165F8" w:rsidP="008558ED">
            <w:pPr>
              <w:jc w:val="right"/>
              <w:rPr>
                <w:rFonts w:ascii="Tahoma" w:hAnsi="Tahoma" w:cs="Tahoma"/>
                <w:noProof/>
                <w:sz w:val="23"/>
                <w:szCs w:val="23"/>
                <w:lang w:val="sr-Latn-BA"/>
              </w:rPr>
            </w:pPr>
            <w:r w:rsidRPr="001707CF">
              <w:rPr>
                <w:rFonts w:ascii="Tahoma" w:hAnsi="Tahoma" w:cs="Tahoma"/>
                <w:sz w:val="23"/>
                <w:szCs w:val="23"/>
              </w:rPr>
              <w:t>2,88</w:t>
            </w:r>
          </w:p>
        </w:tc>
        <w:tc>
          <w:tcPr>
            <w:tcW w:w="1448" w:type="dxa"/>
            <w:shd w:val="clear" w:color="auto" w:fill="auto"/>
            <w:noWrap/>
            <w:vAlign w:val="bottom"/>
          </w:tcPr>
          <w:p w14:paraId="7AB310D0" w14:textId="77777777" w:rsidR="00C165F8" w:rsidRPr="001707CF" w:rsidRDefault="00C165F8" w:rsidP="008558ED">
            <w:pPr>
              <w:jc w:val="right"/>
              <w:rPr>
                <w:rFonts w:ascii="Tahoma" w:hAnsi="Tahoma" w:cs="Tahoma"/>
                <w:noProof/>
                <w:sz w:val="23"/>
                <w:szCs w:val="23"/>
                <w:lang w:val="sr-Latn-BA"/>
              </w:rPr>
            </w:pPr>
            <w:r w:rsidRPr="001707CF">
              <w:rPr>
                <w:rFonts w:ascii="Tahoma" w:hAnsi="Tahoma" w:cs="Tahoma"/>
                <w:noProof/>
                <w:sz w:val="23"/>
                <w:szCs w:val="23"/>
                <w:lang w:val="sr-Latn-BA"/>
              </w:rPr>
              <w:t>2,84</w:t>
            </w:r>
          </w:p>
        </w:tc>
        <w:tc>
          <w:tcPr>
            <w:tcW w:w="1497" w:type="dxa"/>
            <w:shd w:val="clear" w:color="auto" w:fill="auto"/>
            <w:noWrap/>
            <w:vAlign w:val="bottom"/>
          </w:tcPr>
          <w:p w14:paraId="4298F073" w14:textId="77777777" w:rsidR="00C165F8" w:rsidRPr="001707CF" w:rsidRDefault="00C165F8" w:rsidP="008558ED">
            <w:pPr>
              <w:jc w:val="right"/>
              <w:rPr>
                <w:rFonts w:ascii="Tahoma" w:hAnsi="Tahoma" w:cs="Tahoma"/>
                <w:noProof/>
                <w:sz w:val="23"/>
                <w:szCs w:val="23"/>
                <w:lang w:val="sr-Latn-BA"/>
              </w:rPr>
            </w:pPr>
            <w:r w:rsidRPr="001707CF">
              <w:rPr>
                <w:rFonts w:ascii="Tahoma" w:hAnsi="Tahoma" w:cs="Tahoma"/>
                <w:noProof/>
                <w:sz w:val="23"/>
                <w:szCs w:val="23"/>
                <w:lang w:val="sr-Latn-BA"/>
              </w:rPr>
              <w:t>2,46</w:t>
            </w:r>
          </w:p>
        </w:tc>
        <w:tc>
          <w:tcPr>
            <w:tcW w:w="1307" w:type="dxa"/>
            <w:shd w:val="clear" w:color="auto" w:fill="auto"/>
            <w:noWrap/>
            <w:vAlign w:val="bottom"/>
            <w:hideMark/>
          </w:tcPr>
          <w:p w14:paraId="004D5368" w14:textId="77777777" w:rsidR="00C165F8" w:rsidRPr="001707CF" w:rsidRDefault="00C165F8" w:rsidP="008558ED">
            <w:pPr>
              <w:jc w:val="right"/>
              <w:rPr>
                <w:rFonts w:ascii="Tahoma" w:hAnsi="Tahoma" w:cs="Tahoma"/>
                <w:noProof/>
                <w:sz w:val="23"/>
                <w:szCs w:val="23"/>
                <w:lang w:val="sr-Latn-BA"/>
              </w:rPr>
            </w:pPr>
            <w:r w:rsidRPr="001707CF">
              <w:rPr>
                <w:rFonts w:ascii="Tahoma" w:hAnsi="Tahoma" w:cs="Tahoma"/>
                <w:noProof/>
                <w:sz w:val="23"/>
                <w:szCs w:val="23"/>
                <w:lang w:val="sr-Latn-BA"/>
              </w:rPr>
              <w:t>2,41</w:t>
            </w:r>
          </w:p>
        </w:tc>
      </w:tr>
      <w:tr w:rsidR="00C165F8" w:rsidRPr="001707CF" w14:paraId="76C635A0" w14:textId="77777777" w:rsidTr="008558ED">
        <w:trPr>
          <w:trHeight w:val="256"/>
        </w:trPr>
        <w:tc>
          <w:tcPr>
            <w:tcW w:w="3369" w:type="dxa"/>
            <w:shd w:val="clear" w:color="auto" w:fill="auto"/>
            <w:noWrap/>
            <w:vAlign w:val="bottom"/>
            <w:hideMark/>
          </w:tcPr>
          <w:p w14:paraId="6863F7CF" w14:textId="77777777" w:rsidR="00C165F8" w:rsidRPr="001707CF" w:rsidRDefault="00C165F8" w:rsidP="008558ED">
            <w:pPr>
              <w:rPr>
                <w:rFonts w:ascii="Tahoma" w:hAnsi="Tahoma" w:cs="Tahoma"/>
                <w:noProof/>
                <w:sz w:val="23"/>
                <w:szCs w:val="23"/>
                <w:lang w:val="sr-Latn-BA"/>
              </w:rPr>
            </w:pPr>
            <w:r w:rsidRPr="001707CF">
              <w:rPr>
                <w:rFonts w:ascii="Tahoma" w:hAnsi="Tahoma" w:cs="Tahoma"/>
                <w:noProof/>
                <w:sz w:val="23"/>
                <w:szCs w:val="23"/>
                <w:lang w:val="sr-Latn-BA"/>
              </w:rPr>
              <w:t>Najviša cijena po akciji / udjelu</w:t>
            </w:r>
          </w:p>
        </w:tc>
        <w:tc>
          <w:tcPr>
            <w:tcW w:w="1275" w:type="dxa"/>
            <w:shd w:val="clear" w:color="auto" w:fill="auto"/>
            <w:noWrap/>
            <w:vAlign w:val="bottom"/>
          </w:tcPr>
          <w:p w14:paraId="5E26BB61" w14:textId="77777777" w:rsidR="00C165F8" w:rsidRPr="006870F7" w:rsidRDefault="00C165F8" w:rsidP="008558ED">
            <w:pPr>
              <w:jc w:val="right"/>
              <w:rPr>
                <w:rFonts w:ascii="Tahoma" w:hAnsi="Tahoma" w:cs="Tahoma"/>
                <w:noProof/>
                <w:sz w:val="20"/>
                <w:szCs w:val="20"/>
                <w:lang w:val="sr-Latn-BA"/>
              </w:rPr>
            </w:pPr>
            <w:r w:rsidRPr="006870F7">
              <w:rPr>
                <w:rFonts w:ascii="Tahoma" w:hAnsi="Tahoma" w:cs="Tahoma"/>
                <w:noProof/>
                <w:sz w:val="20"/>
                <w:szCs w:val="20"/>
                <w:lang w:val="sr-Latn-BA"/>
              </w:rPr>
              <w:t>3,3</w:t>
            </w:r>
            <w:r>
              <w:rPr>
                <w:rFonts w:ascii="Tahoma" w:hAnsi="Tahoma" w:cs="Tahoma"/>
                <w:noProof/>
                <w:sz w:val="20"/>
                <w:szCs w:val="20"/>
                <w:lang w:val="sr-Latn-BA"/>
              </w:rPr>
              <w:t>8</w:t>
            </w:r>
          </w:p>
        </w:tc>
        <w:tc>
          <w:tcPr>
            <w:tcW w:w="1560" w:type="dxa"/>
            <w:shd w:val="clear" w:color="auto" w:fill="auto"/>
            <w:noWrap/>
            <w:vAlign w:val="bottom"/>
          </w:tcPr>
          <w:p w14:paraId="0EEF69C2" w14:textId="77777777" w:rsidR="00C165F8" w:rsidRPr="001707CF" w:rsidRDefault="00C165F8" w:rsidP="008558ED">
            <w:pPr>
              <w:jc w:val="right"/>
              <w:rPr>
                <w:rFonts w:ascii="Tahoma" w:hAnsi="Tahoma" w:cs="Tahoma"/>
                <w:noProof/>
                <w:sz w:val="23"/>
                <w:szCs w:val="23"/>
                <w:lang w:val="sr-Latn-BA"/>
              </w:rPr>
            </w:pPr>
            <w:r w:rsidRPr="001707CF">
              <w:rPr>
                <w:rFonts w:ascii="Tahoma" w:hAnsi="Tahoma" w:cs="Tahoma"/>
                <w:sz w:val="23"/>
                <w:szCs w:val="23"/>
              </w:rPr>
              <w:t>3,31</w:t>
            </w:r>
          </w:p>
        </w:tc>
        <w:tc>
          <w:tcPr>
            <w:tcW w:w="1448" w:type="dxa"/>
            <w:shd w:val="clear" w:color="auto" w:fill="auto"/>
            <w:noWrap/>
            <w:vAlign w:val="bottom"/>
          </w:tcPr>
          <w:p w14:paraId="11B8F213" w14:textId="77777777" w:rsidR="00C165F8" w:rsidRPr="001707CF" w:rsidRDefault="00C165F8" w:rsidP="008558ED">
            <w:pPr>
              <w:jc w:val="right"/>
              <w:rPr>
                <w:rFonts w:ascii="Tahoma" w:hAnsi="Tahoma" w:cs="Tahoma"/>
                <w:noProof/>
                <w:sz w:val="23"/>
                <w:szCs w:val="23"/>
                <w:lang w:val="sr-Latn-BA"/>
              </w:rPr>
            </w:pPr>
            <w:r w:rsidRPr="001707CF">
              <w:rPr>
                <w:rFonts w:ascii="Tahoma" w:hAnsi="Tahoma" w:cs="Tahoma"/>
                <w:noProof/>
                <w:sz w:val="23"/>
                <w:szCs w:val="23"/>
                <w:lang w:val="sr-Latn-BA"/>
              </w:rPr>
              <w:t>3,39</w:t>
            </w:r>
          </w:p>
        </w:tc>
        <w:tc>
          <w:tcPr>
            <w:tcW w:w="1497" w:type="dxa"/>
            <w:shd w:val="clear" w:color="auto" w:fill="auto"/>
            <w:noWrap/>
            <w:vAlign w:val="bottom"/>
          </w:tcPr>
          <w:p w14:paraId="7F2B7806" w14:textId="77777777" w:rsidR="00C165F8" w:rsidRPr="001707CF" w:rsidRDefault="00C165F8" w:rsidP="008558ED">
            <w:pPr>
              <w:jc w:val="right"/>
              <w:rPr>
                <w:rFonts w:ascii="Tahoma" w:hAnsi="Tahoma" w:cs="Tahoma"/>
                <w:noProof/>
                <w:sz w:val="23"/>
                <w:szCs w:val="23"/>
                <w:lang w:val="sr-Latn-BA"/>
              </w:rPr>
            </w:pPr>
            <w:r w:rsidRPr="001707CF">
              <w:rPr>
                <w:rFonts w:ascii="Tahoma" w:hAnsi="Tahoma" w:cs="Tahoma"/>
                <w:noProof/>
                <w:sz w:val="23"/>
                <w:szCs w:val="23"/>
                <w:lang w:val="sr-Latn-BA"/>
              </w:rPr>
              <w:t>2,84</w:t>
            </w:r>
          </w:p>
        </w:tc>
        <w:tc>
          <w:tcPr>
            <w:tcW w:w="1307" w:type="dxa"/>
            <w:shd w:val="clear" w:color="auto" w:fill="auto"/>
            <w:noWrap/>
            <w:vAlign w:val="bottom"/>
            <w:hideMark/>
          </w:tcPr>
          <w:p w14:paraId="41A87611" w14:textId="77777777" w:rsidR="00C165F8" w:rsidRPr="001707CF" w:rsidRDefault="00C165F8" w:rsidP="008558ED">
            <w:pPr>
              <w:jc w:val="right"/>
              <w:rPr>
                <w:rFonts w:ascii="Tahoma" w:hAnsi="Tahoma" w:cs="Tahoma"/>
                <w:noProof/>
                <w:sz w:val="23"/>
                <w:szCs w:val="23"/>
                <w:lang w:val="sr-Latn-BA"/>
              </w:rPr>
            </w:pPr>
            <w:r w:rsidRPr="001707CF">
              <w:rPr>
                <w:rFonts w:ascii="Tahoma" w:hAnsi="Tahoma" w:cs="Tahoma"/>
                <w:noProof/>
                <w:sz w:val="23"/>
                <w:szCs w:val="23"/>
                <w:lang w:val="sr-Latn-BA"/>
              </w:rPr>
              <w:t>3,02</w:t>
            </w:r>
          </w:p>
        </w:tc>
      </w:tr>
      <w:tr w:rsidR="00C165F8" w:rsidRPr="001707CF" w14:paraId="323BD250" w14:textId="77777777" w:rsidTr="008558ED">
        <w:trPr>
          <w:trHeight w:val="256"/>
        </w:trPr>
        <w:tc>
          <w:tcPr>
            <w:tcW w:w="3369" w:type="dxa"/>
            <w:shd w:val="clear" w:color="auto" w:fill="auto"/>
            <w:noWrap/>
            <w:vAlign w:val="bottom"/>
            <w:hideMark/>
          </w:tcPr>
          <w:p w14:paraId="2D0437F5" w14:textId="77777777" w:rsidR="00C165F8" w:rsidRPr="001707CF" w:rsidRDefault="00C165F8" w:rsidP="008558ED">
            <w:pPr>
              <w:rPr>
                <w:rFonts w:ascii="Tahoma" w:hAnsi="Tahoma" w:cs="Tahoma"/>
                <w:noProof/>
                <w:sz w:val="23"/>
                <w:szCs w:val="23"/>
                <w:lang w:val="sr-Latn-BA"/>
              </w:rPr>
            </w:pPr>
            <w:r w:rsidRPr="001707CF">
              <w:rPr>
                <w:rFonts w:ascii="Tahoma" w:hAnsi="Tahoma" w:cs="Tahoma"/>
                <w:noProof/>
                <w:sz w:val="23"/>
                <w:szCs w:val="23"/>
                <w:lang w:val="sr-Latn-BA"/>
              </w:rPr>
              <w:t xml:space="preserve">Najniža tržišna cijena </w:t>
            </w:r>
          </w:p>
        </w:tc>
        <w:tc>
          <w:tcPr>
            <w:tcW w:w="1275" w:type="dxa"/>
            <w:shd w:val="clear" w:color="auto" w:fill="auto"/>
            <w:noWrap/>
            <w:vAlign w:val="bottom"/>
          </w:tcPr>
          <w:p w14:paraId="15E37D29" w14:textId="77777777" w:rsidR="00C165F8" w:rsidRPr="006870F7" w:rsidRDefault="00C165F8" w:rsidP="008558ED">
            <w:pPr>
              <w:jc w:val="right"/>
              <w:rPr>
                <w:rFonts w:ascii="Tahoma" w:hAnsi="Tahoma" w:cs="Tahoma"/>
                <w:noProof/>
                <w:sz w:val="20"/>
                <w:szCs w:val="20"/>
                <w:lang w:val="sr-Latn-BA"/>
              </w:rPr>
            </w:pPr>
            <w:r w:rsidRPr="006870F7">
              <w:rPr>
                <w:rFonts w:ascii="Tahoma" w:hAnsi="Tahoma" w:cs="Tahoma"/>
                <w:noProof/>
                <w:sz w:val="20"/>
                <w:szCs w:val="20"/>
                <w:lang w:val="sr-Latn-BA"/>
              </w:rPr>
              <w:t>0,0000</w:t>
            </w:r>
          </w:p>
        </w:tc>
        <w:tc>
          <w:tcPr>
            <w:tcW w:w="1560" w:type="dxa"/>
            <w:shd w:val="clear" w:color="auto" w:fill="auto"/>
            <w:noWrap/>
            <w:vAlign w:val="bottom"/>
          </w:tcPr>
          <w:p w14:paraId="5345487D" w14:textId="77777777" w:rsidR="00C165F8" w:rsidRPr="001707CF" w:rsidRDefault="00C165F8" w:rsidP="008558ED">
            <w:pPr>
              <w:jc w:val="right"/>
              <w:rPr>
                <w:rFonts w:ascii="Tahoma" w:hAnsi="Tahoma" w:cs="Tahoma"/>
                <w:noProof/>
                <w:sz w:val="23"/>
                <w:szCs w:val="23"/>
                <w:lang w:val="sr-Latn-BA"/>
              </w:rPr>
            </w:pPr>
            <w:r w:rsidRPr="001707CF">
              <w:rPr>
                <w:rFonts w:ascii="Tahoma" w:hAnsi="Tahoma" w:cs="Tahoma"/>
                <w:noProof/>
                <w:sz w:val="23"/>
                <w:szCs w:val="23"/>
                <w:lang w:val="sr-Latn-BA"/>
              </w:rPr>
              <w:t>0,00</w:t>
            </w:r>
          </w:p>
        </w:tc>
        <w:tc>
          <w:tcPr>
            <w:tcW w:w="1448" w:type="dxa"/>
            <w:shd w:val="clear" w:color="auto" w:fill="auto"/>
            <w:noWrap/>
            <w:vAlign w:val="bottom"/>
          </w:tcPr>
          <w:p w14:paraId="23FABEE6" w14:textId="77777777" w:rsidR="00C165F8" w:rsidRPr="001707CF" w:rsidRDefault="00C165F8" w:rsidP="008558ED">
            <w:pPr>
              <w:jc w:val="right"/>
              <w:rPr>
                <w:rFonts w:ascii="Tahoma" w:hAnsi="Tahoma" w:cs="Tahoma"/>
                <w:noProof/>
                <w:sz w:val="23"/>
                <w:szCs w:val="23"/>
                <w:lang w:val="sr-Latn-BA"/>
              </w:rPr>
            </w:pPr>
            <w:r w:rsidRPr="001707CF">
              <w:rPr>
                <w:rFonts w:ascii="Tahoma" w:hAnsi="Tahoma" w:cs="Tahoma"/>
                <w:noProof/>
                <w:sz w:val="23"/>
                <w:szCs w:val="23"/>
                <w:lang w:val="sr-Latn-BA"/>
              </w:rPr>
              <w:t>0,00</w:t>
            </w:r>
          </w:p>
        </w:tc>
        <w:tc>
          <w:tcPr>
            <w:tcW w:w="1497" w:type="dxa"/>
            <w:shd w:val="clear" w:color="auto" w:fill="auto"/>
            <w:noWrap/>
            <w:vAlign w:val="bottom"/>
          </w:tcPr>
          <w:p w14:paraId="657A4F13" w14:textId="77777777" w:rsidR="00C165F8" w:rsidRPr="001707CF" w:rsidRDefault="00C165F8" w:rsidP="008558ED">
            <w:pPr>
              <w:jc w:val="right"/>
              <w:rPr>
                <w:rFonts w:ascii="Tahoma" w:hAnsi="Tahoma" w:cs="Tahoma"/>
                <w:noProof/>
                <w:sz w:val="23"/>
                <w:szCs w:val="23"/>
                <w:lang w:val="sr-Latn-BA"/>
              </w:rPr>
            </w:pPr>
            <w:r w:rsidRPr="001707CF">
              <w:rPr>
                <w:rFonts w:ascii="Tahoma" w:hAnsi="Tahoma" w:cs="Tahoma"/>
                <w:noProof/>
                <w:sz w:val="23"/>
                <w:szCs w:val="23"/>
                <w:lang w:val="sr-Latn-BA"/>
              </w:rPr>
              <w:t>0,00</w:t>
            </w:r>
          </w:p>
        </w:tc>
        <w:tc>
          <w:tcPr>
            <w:tcW w:w="1307" w:type="dxa"/>
            <w:shd w:val="clear" w:color="auto" w:fill="auto"/>
            <w:noWrap/>
            <w:vAlign w:val="bottom"/>
            <w:hideMark/>
          </w:tcPr>
          <w:p w14:paraId="20387DB8" w14:textId="77777777" w:rsidR="00C165F8" w:rsidRPr="001707CF" w:rsidRDefault="00C165F8" w:rsidP="008558ED">
            <w:pPr>
              <w:jc w:val="right"/>
              <w:rPr>
                <w:rFonts w:ascii="Tahoma" w:hAnsi="Tahoma" w:cs="Tahoma"/>
                <w:noProof/>
                <w:sz w:val="23"/>
                <w:szCs w:val="23"/>
                <w:lang w:val="sr-Latn-BA"/>
              </w:rPr>
            </w:pPr>
            <w:r w:rsidRPr="001707CF">
              <w:rPr>
                <w:rFonts w:ascii="Tahoma" w:hAnsi="Tahoma" w:cs="Tahoma"/>
                <w:noProof/>
                <w:sz w:val="23"/>
                <w:szCs w:val="23"/>
                <w:lang w:val="sr-Latn-BA"/>
              </w:rPr>
              <w:t>1,07</w:t>
            </w:r>
          </w:p>
        </w:tc>
      </w:tr>
      <w:tr w:rsidR="00C165F8" w:rsidRPr="001707CF" w14:paraId="1C885BB0" w14:textId="77777777" w:rsidTr="008558ED">
        <w:trPr>
          <w:trHeight w:val="256"/>
        </w:trPr>
        <w:tc>
          <w:tcPr>
            <w:tcW w:w="3369" w:type="dxa"/>
            <w:shd w:val="clear" w:color="auto" w:fill="auto"/>
            <w:noWrap/>
            <w:vAlign w:val="bottom"/>
            <w:hideMark/>
          </w:tcPr>
          <w:p w14:paraId="3C001211" w14:textId="77777777" w:rsidR="00C165F8" w:rsidRPr="001707CF" w:rsidRDefault="00C165F8" w:rsidP="008558ED">
            <w:pPr>
              <w:rPr>
                <w:rFonts w:ascii="Tahoma" w:hAnsi="Tahoma" w:cs="Tahoma"/>
                <w:noProof/>
                <w:sz w:val="23"/>
                <w:szCs w:val="23"/>
                <w:lang w:val="sr-Latn-BA"/>
              </w:rPr>
            </w:pPr>
            <w:r w:rsidRPr="001707CF">
              <w:rPr>
                <w:rFonts w:ascii="Tahoma" w:hAnsi="Tahoma" w:cs="Tahoma"/>
                <w:noProof/>
                <w:sz w:val="23"/>
                <w:szCs w:val="23"/>
                <w:lang w:val="sr-Latn-BA"/>
              </w:rPr>
              <w:t>Najviša tržišna cijena</w:t>
            </w:r>
          </w:p>
        </w:tc>
        <w:tc>
          <w:tcPr>
            <w:tcW w:w="1275" w:type="dxa"/>
            <w:shd w:val="clear" w:color="auto" w:fill="auto"/>
            <w:noWrap/>
            <w:vAlign w:val="bottom"/>
          </w:tcPr>
          <w:p w14:paraId="69C1E932" w14:textId="77777777" w:rsidR="00C165F8" w:rsidRPr="006870F7" w:rsidRDefault="00C165F8" w:rsidP="008558ED">
            <w:pPr>
              <w:jc w:val="right"/>
              <w:rPr>
                <w:rFonts w:ascii="Tahoma" w:hAnsi="Tahoma" w:cs="Tahoma"/>
                <w:noProof/>
                <w:sz w:val="20"/>
                <w:szCs w:val="20"/>
                <w:lang w:val="sr-Latn-BA"/>
              </w:rPr>
            </w:pPr>
            <w:r w:rsidRPr="006870F7">
              <w:rPr>
                <w:rFonts w:ascii="Tahoma" w:hAnsi="Tahoma" w:cs="Tahoma"/>
                <w:noProof/>
                <w:sz w:val="20"/>
                <w:szCs w:val="20"/>
                <w:lang w:val="sr-Latn-BA"/>
              </w:rPr>
              <w:t>0,0000</w:t>
            </w:r>
          </w:p>
        </w:tc>
        <w:tc>
          <w:tcPr>
            <w:tcW w:w="1560" w:type="dxa"/>
            <w:shd w:val="clear" w:color="auto" w:fill="auto"/>
            <w:noWrap/>
            <w:vAlign w:val="bottom"/>
          </w:tcPr>
          <w:p w14:paraId="4F1C06E5" w14:textId="77777777" w:rsidR="00C165F8" w:rsidRPr="001707CF" w:rsidRDefault="00C165F8" w:rsidP="008558ED">
            <w:pPr>
              <w:jc w:val="right"/>
              <w:rPr>
                <w:rFonts w:ascii="Tahoma" w:hAnsi="Tahoma" w:cs="Tahoma"/>
                <w:noProof/>
                <w:sz w:val="23"/>
                <w:szCs w:val="23"/>
                <w:lang w:val="sr-Latn-BA"/>
              </w:rPr>
            </w:pPr>
            <w:r w:rsidRPr="001707CF">
              <w:rPr>
                <w:rFonts w:ascii="Tahoma" w:hAnsi="Tahoma" w:cs="Tahoma"/>
                <w:noProof/>
                <w:sz w:val="23"/>
                <w:szCs w:val="23"/>
                <w:lang w:val="sr-Latn-BA"/>
              </w:rPr>
              <w:t>0,00</w:t>
            </w:r>
          </w:p>
        </w:tc>
        <w:tc>
          <w:tcPr>
            <w:tcW w:w="1448" w:type="dxa"/>
            <w:shd w:val="clear" w:color="auto" w:fill="auto"/>
            <w:noWrap/>
            <w:vAlign w:val="bottom"/>
          </w:tcPr>
          <w:p w14:paraId="01414FF8" w14:textId="77777777" w:rsidR="00C165F8" w:rsidRPr="001707CF" w:rsidRDefault="00C165F8" w:rsidP="008558ED">
            <w:pPr>
              <w:jc w:val="right"/>
              <w:rPr>
                <w:rFonts w:ascii="Tahoma" w:hAnsi="Tahoma" w:cs="Tahoma"/>
                <w:noProof/>
                <w:sz w:val="23"/>
                <w:szCs w:val="23"/>
                <w:lang w:val="sr-Latn-BA"/>
              </w:rPr>
            </w:pPr>
            <w:r w:rsidRPr="001707CF">
              <w:rPr>
                <w:rFonts w:ascii="Tahoma" w:hAnsi="Tahoma" w:cs="Tahoma"/>
                <w:noProof/>
                <w:sz w:val="23"/>
                <w:szCs w:val="23"/>
                <w:lang w:val="sr-Latn-BA"/>
              </w:rPr>
              <w:t>0,00</w:t>
            </w:r>
          </w:p>
        </w:tc>
        <w:tc>
          <w:tcPr>
            <w:tcW w:w="1497" w:type="dxa"/>
            <w:shd w:val="clear" w:color="auto" w:fill="auto"/>
            <w:noWrap/>
            <w:vAlign w:val="bottom"/>
          </w:tcPr>
          <w:p w14:paraId="41A5893A" w14:textId="77777777" w:rsidR="00C165F8" w:rsidRPr="001707CF" w:rsidRDefault="00C165F8" w:rsidP="008558ED">
            <w:pPr>
              <w:jc w:val="right"/>
              <w:rPr>
                <w:rFonts w:ascii="Tahoma" w:hAnsi="Tahoma" w:cs="Tahoma"/>
                <w:noProof/>
                <w:sz w:val="23"/>
                <w:szCs w:val="23"/>
                <w:lang w:val="sr-Latn-BA"/>
              </w:rPr>
            </w:pPr>
            <w:r w:rsidRPr="001707CF">
              <w:rPr>
                <w:rFonts w:ascii="Tahoma" w:hAnsi="Tahoma" w:cs="Tahoma"/>
                <w:noProof/>
                <w:sz w:val="23"/>
                <w:szCs w:val="23"/>
                <w:lang w:val="sr-Latn-BA"/>
              </w:rPr>
              <w:t>0,00</w:t>
            </w:r>
          </w:p>
        </w:tc>
        <w:tc>
          <w:tcPr>
            <w:tcW w:w="1307" w:type="dxa"/>
            <w:shd w:val="clear" w:color="auto" w:fill="auto"/>
            <w:noWrap/>
            <w:vAlign w:val="bottom"/>
            <w:hideMark/>
          </w:tcPr>
          <w:p w14:paraId="068E4F64" w14:textId="77777777" w:rsidR="00C165F8" w:rsidRPr="001707CF" w:rsidRDefault="00C165F8" w:rsidP="008558ED">
            <w:pPr>
              <w:jc w:val="right"/>
              <w:rPr>
                <w:rFonts w:ascii="Tahoma" w:hAnsi="Tahoma" w:cs="Tahoma"/>
                <w:noProof/>
                <w:sz w:val="23"/>
                <w:szCs w:val="23"/>
                <w:lang w:val="sr-Latn-BA"/>
              </w:rPr>
            </w:pPr>
            <w:r w:rsidRPr="001707CF">
              <w:rPr>
                <w:rFonts w:ascii="Tahoma" w:hAnsi="Tahoma" w:cs="Tahoma"/>
                <w:noProof/>
                <w:sz w:val="23"/>
                <w:szCs w:val="23"/>
                <w:lang w:val="sr-Latn-BA"/>
              </w:rPr>
              <w:t>2,09</w:t>
            </w:r>
          </w:p>
        </w:tc>
      </w:tr>
    </w:tbl>
    <w:p w14:paraId="363236CB" w14:textId="77777777" w:rsidR="00C165F8" w:rsidRPr="001707CF" w:rsidRDefault="00C165F8" w:rsidP="00C165F8">
      <w:pPr>
        <w:tabs>
          <w:tab w:val="left" w:pos="8364"/>
        </w:tabs>
        <w:spacing w:after="120"/>
        <w:ind w:right="1"/>
        <w:jc w:val="right"/>
        <w:rPr>
          <w:rFonts w:ascii="Tahoma" w:hAnsi="Tahoma" w:cs="Tahoma"/>
          <w:i/>
          <w:sz w:val="23"/>
          <w:szCs w:val="23"/>
          <w:lang w:val="sr-Latn-BA"/>
        </w:rPr>
      </w:pPr>
    </w:p>
    <w:p w14:paraId="3F6CEB01" w14:textId="77777777" w:rsidR="00C165F8" w:rsidRPr="001707CF" w:rsidRDefault="00C165F8" w:rsidP="00C165F8">
      <w:pPr>
        <w:numPr>
          <w:ilvl w:val="0"/>
          <w:numId w:val="22"/>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UPOREDNI PREGLED POSLOVANjA</w:t>
      </w:r>
    </w:p>
    <w:p w14:paraId="5080565C" w14:textId="77777777" w:rsidR="00C165F8" w:rsidRPr="001707CF" w:rsidRDefault="00C165F8" w:rsidP="00C165F8">
      <w:pPr>
        <w:spacing w:after="120"/>
        <w:rPr>
          <w:rFonts w:ascii="Tahoma" w:hAnsi="Tahoma" w:cs="Tahoma"/>
          <w:sz w:val="23"/>
          <w:szCs w:val="23"/>
          <w:lang w:val="sr-Latn-BA"/>
        </w:rPr>
      </w:pPr>
      <w:r w:rsidRPr="001707CF">
        <w:rPr>
          <w:rFonts w:ascii="Tahoma" w:hAnsi="Tahoma" w:cs="Tahoma"/>
          <w:sz w:val="23"/>
          <w:szCs w:val="23"/>
          <w:lang w:val="sr-Latn-BA"/>
        </w:rPr>
        <w:t>Uporedni pregled poslovanja u periodu od protekle tri godine je dat u sljedećoj tabeli:</w:t>
      </w:r>
    </w:p>
    <w:tbl>
      <w:tblPr>
        <w:tblW w:w="9435" w:type="dxa"/>
        <w:jc w:val="center"/>
        <w:tblLook w:val="04A0" w:firstRow="1" w:lastRow="0" w:firstColumn="1" w:lastColumn="0" w:noHBand="0" w:noVBand="1"/>
      </w:tblPr>
      <w:tblGrid>
        <w:gridCol w:w="4395"/>
        <w:gridCol w:w="1455"/>
        <w:gridCol w:w="1905"/>
        <w:gridCol w:w="1680"/>
      </w:tblGrid>
      <w:tr w:rsidR="00C165F8" w:rsidRPr="001707CF" w14:paraId="34537130" w14:textId="77777777" w:rsidTr="008558ED">
        <w:trPr>
          <w:trHeight w:val="390"/>
          <w:jc w:val="center"/>
        </w:trPr>
        <w:tc>
          <w:tcPr>
            <w:tcW w:w="4395" w:type="dxa"/>
            <w:tcBorders>
              <w:top w:val="single" w:sz="4" w:space="0" w:color="auto"/>
              <w:left w:val="nil"/>
              <w:bottom w:val="single" w:sz="4" w:space="0" w:color="auto"/>
              <w:right w:val="nil"/>
            </w:tcBorders>
            <w:shd w:val="clear" w:color="auto" w:fill="auto"/>
            <w:vAlign w:val="center"/>
            <w:hideMark/>
          </w:tcPr>
          <w:p w14:paraId="667DEED2" w14:textId="77777777" w:rsidR="00C165F8" w:rsidRPr="001707CF" w:rsidRDefault="00C165F8" w:rsidP="008558ED">
            <w:pPr>
              <w:jc w:val="center"/>
              <w:rPr>
                <w:rFonts w:ascii="Tahoma" w:hAnsi="Tahoma" w:cs="Tahoma"/>
                <w:i/>
                <w:iCs/>
                <w:sz w:val="23"/>
                <w:szCs w:val="23"/>
                <w:lang w:val="sr-Latn-BA" w:eastAsia="sr-Latn-BA"/>
              </w:rPr>
            </w:pPr>
            <w:r w:rsidRPr="001707CF">
              <w:rPr>
                <w:rFonts w:ascii="Tahoma" w:hAnsi="Tahoma" w:cs="Tahoma"/>
                <w:i/>
                <w:iCs/>
                <w:sz w:val="23"/>
                <w:szCs w:val="23"/>
                <w:lang w:val="sr-Latn-BA"/>
              </w:rPr>
              <w:t>Opis</w:t>
            </w:r>
          </w:p>
        </w:tc>
        <w:tc>
          <w:tcPr>
            <w:tcW w:w="1455" w:type="dxa"/>
            <w:tcBorders>
              <w:top w:val="single" w:sz="4" w:space="0" w:color="auto"/>
              <w:left w:val="nil"/>
              <w:bottom w:val="single" w:sz="4" w:space="0" w:color="auto"/>
              <w:right w:val="nil"/>
            </w:tcBorders>
            <w:shd w:val="clear" w:color="auto" w:fill="auto"/>
            <w:vAlign w:val="center"/>
            <w:hideMark/>
          </w:tcPr>
          <w:p w14:paraId="083FE19C" w14:textId="77777777" w:rsidR="00C165F8" w:rsidRPr="001707CF" w:rsidRDefault="00C165F8" w:rsidP="008558ED">
            <w:pPr>
              <w:jc w:val="center"/>
              <w:rPr>
                <w:rFonts w:ascii="Tahoma" w:hAnsi="Tahoma" w:cs="Tahoma"/>
                <w:i/>
                <w:iCs/>
                <w:sz w:val="23"/>
                <w:szCs w:val="23"/>
                <w:lang w:val="sr-Latn-BA"/>
              </w:rPr>
            </w:pPr>
            <w:r w:rsidRPr="001707CF">
              <w:rPr>
                <w:rFonts w:ascii="Tahoma" w:hAnsi="Tahoma" w:cs="Tahoma"/>
                <w:i/>
                <w:iCs/>
                <w:sz w:val="23"/>
                <w:szCs w:val="23"/>
                <w:lang w:val="sr-Latn-BA"/>
              </w:rPr>
              <w:t>31.12.</w:t>
            </w:r>
            <w:r>
              <w:rPr>
                <w:rFonts w:ascii="Tahoma" w:hAnsi="Tahoma" w:cs="Tahoma"/>
                <w:i/>
                <w:iCs/>
                <w:sz w:val="23"/>
                <w:szCs w:val="23"/>
                <w:lang w:val="sr-Latn-BA"/>
              </w:rPr>
              <w:t>2024</w:t>
            </w:r>
            <w:r w:rsidRPr="001707CF">
              <w:rPr>
                <w:rFonts w:ascii="Tahoma" w:hAnsi="Tahoma" w:cs="Tahoma"/>
                <w:i/>
                <w:iCs/>
                <w:sz w:val="23"/>
                <w:szCs w:val="23"/>
                <w:lang w:val="sr-Latn-BA"/>
              </w:rPr>
              <w:t>.</w:t>
            </w:r>
          </w:p>
        </w:tc>
        <w:tc>
          <w:tcPr>
            <w:tcW w:w="1905" w:type="dxa"/>
            <w:tcBorders>
              <w:top w:val="single" w:sz="4" w:space="0" w:color="auto"/>
              <w:left w:val="nil"/>
              <w:bottom w:val="single" w:sz="4" w:space="0" w:color="auto"/>
              <w:right w:val="nil"/>
            </w:tcBorders>
            <w:vAlign w:val="center"/>
          </w:tcPr>
          <w:p w14:paraId="15BEBFB1" w14:textId="77777777" w:rsidR="00C165F8" w:rsidRPr="001707CF" w:rsidRDefault="00C165F8" w:rsidP="008558ED">
            <w:pPr>
              <w:jc w:val="center"/>
              <w:rPr>
                <w:rFonts w:ascii="Tahoma" w:hAnsi="Tahoma" w:cs="Tahoma"/>
                <w:i/>
                <w:iCs/>
                <w:sz w:val="23"/>
                <w:szCs w:val="23"/>
                <w:lang w:val="sr-Latn-BA"/>
              </w:rPr>
            </w:pPr>
            <w:r w:rsidRPr="001707CF">
              <w:rPr>
                <w:rFonts w:ascii="Tahoma" w:hAnsi="Tahoma" w:cs="Tahoma"/>
                <w:i/>
                <w:iCs/>
                <w:sz w:val="23"/>
                <w:szCs w:val="23"/>
                <w:lang w:val="sr-Latn-BA"/>
              </w:rPr>
              <w:t>31.12.</w:t>
            </w:r>
            <w:r>
              <w:rPr>
                <w:rFonts w:ascii="Tahoma" w:hAnsi="Tahoma" w:cs="Tahoma"/>
                <w:i/>
                <w:iCs/>
                <w:sz w:val="23"/>
                <w:szCs w:val="23"/>
                <w:lang w:val="sr-Latn-BA"/>
              </w:rPr>
              <w:t>2023</w:t>
            </w:r>
            <w:r w:rsidRPr="001707CF">
              <w:rPr>
                <w:rFonts w:ascii="Tahoma" w:hAnsi="Tahoma" w:cs="Tahoma"/>
                <w:i/>
                <w:iCs/>
                <w:sz w:val="23"/>
                <w:szCs w:val="23"/>
                <w:lang w:val="sr-Latn-BA"/>
              </w:rPr>
              <w:t>.</w:t>
            </w:r>
          </w:p>
        </w:tc>
        <w:tc>
          <w:tcPr>
            <w:tcW w:w="1680" w:type="dxa"/>
            <w:tcBorders>
              <w:top w:val="single" w:sz="4" w:space="0" w:color="auto"/>
              <w:left w:val="nil"/>
              <w:bottom w:val="single" w:sz="4" w:space="0" w:color="auto"/>
              <w:right w:val="nil"/>
            </w:tcBorders>
            <w:shd w:val="clear" w:color="auto" w:fill="auto"/>
            <w:vAlign w:val="center"/>
            <w:hideMark/>
          </w:tcPr>
          <w:p w14:paraId="51CCAE9C" w14:textId="77777777" w:rsidR="00C165F8" w:rsidRPr="001707CF" w:rsidRDefault="00C165F8" w:rsidP="008558ED">
            <w:pPr>
              <w:jc w:val="center"/>
              <w:rPr>
                <w:rFonts w:ascii="Tahoma" w:hAnsi="Tahoma" w:cs="Tahoma"/>
                <w:i/>
                <w:iCs/>
                <w:sz w:val="23"/>
                <w:szCs w:val="23"/>
                <w:lang w:val="sr-Latn-BA"/>
              </w:rPr>
            </w:pPr>
            <w:r w:rsidRPr="001707CF">
              <w:rPr>
                <w:rFonts w:ascii="Tahoma" w:hAnsi="Tahoma" w:cs="Tahoma"/>
                <w:i/>
                <w:iCs/>
                <w:sz w:val="23"/>
                <w:szCs w:val="23"/>
                <w:lang w:val="sr-Latn-BA"/>
              </w:rPr>
              <w:t>31.12.2021.</w:t>
            </w:r>
          </w:p>
        </w:tc>
      </w:tr>
      <w:tr w:rsidR="00C165F8" w:rsidRPr="001707CF" w14:paraId="5F05939C" w14:textId="77777777" w:rsidTr="008558ED">
        <w:trPr>
          <w:trHeight w:val="360"/>
          <w:jc w:val="center"/>
        </w:trPr>
        <w:tc>
          <w:tcPr>
            <w:tcW w:w="4395" w:type="dxa"/>
            <w:tcBorders>
              <w:top w:val="nil"/>
              <w:left w:val="nil"/>
              <w:bottom w:val="nil"/>
              <w:right w:val="nil"/>
            </w:tcBorders>
            <w:shd w:val="clear" w:color="auto" w:fill="auto"/>
            <w:noWrap/>
            <w:vAlign w:val="center"/>
            <w:hideMark/>
          </w:tcPr>
          <w:p w14:paraId="002A021A" w14:textId="77777777" w:rsidR="00C165F8" w:rsidRPr="001707CF" w:rsidRDefault="00C165F8" w:rsidP="008558ED">
            <w:pPr>
              <w:rPr>
                <w:rFonts w:ascii="Tahoma" w:hAnsi="Tahoma" w:cs="Tahoma"/>
                <w:sz w:val="23"/>
                <w:szCs w:val="23"/>
                <w:lang w:val="sr-Latn-BA"/>
              </w:rPr>
            </w:pPr>
            <w:r w:rsidRPr="001707CF">
              <w:rPr>
                <w:rFonts w:ascii="Tahoma" w:hAnsi="Tahoma" w:cs="Tahoma"/>
                <w:sz w:val="23"/>
                <w:szCs w:val="23"/>
                <w:lang w:val="sr-Latn-BA"/>
              </w:rPr>
              <w:t>Vrijednost neto imovine</w:t>
            </w:r>
          </w:p>
        </w:tc>
        <w:tc>
          <w:tcPr>
            <w:tcW w:w="1455" w:type="dxa"/>
            <w:tcBorders>
              <w:top w:val="nil"/>
              <w:left w:val="nil"/>
              <w:bottom w:val="nil"/>
              <w:right w:val="nil"/>
            </w:tcBorders>
            <w:shd w:val="clear" w:color="auto" w:fill="auto"/>
            <w:noWrap/>
            <w:vAlign w:val="bottom"/>
          </w:tcPr>
          <w:p w14:paraId="669F53BE" w14:textId="77777777" w:rsidR="00C165F8" w:rsidRPr="001707CF" w:rsidRDefault="00C165F8" w:rsidP="008558ED">
            <w:pPr>
              <w:jc w:val="right"/>
              <w:rPr>
                <w:rFonts w:ascii="Tahoma" w:hAnsi="Tahoma" w:cs="Tahoma"/>
                <w:sz w:val="23"/>
                <w:szCs w:val="23"/>
                <w:lang w:val="sr-Latn-BA"/>
              </w:rPr>
            </w:pPr>
            <w:r>
              <w:rPr>
                <w:rFonts w:ascii="Tahoma" w:hAnsi="Tahoma" w:cs="Tahoma"/>
                <w:sz w:val="23"/>
                <w:szCs w:val="23"/>
                <w:lang w:val="sr-Latn-BA"/>
              </w:rPr>
              <w:t>6.521.329</w:t>
            </w:r>
          </w:p>
        </w:tc>
        <w:tc>
          <w:tcPr>
            <w:tcW w:w="1905" w:type="dxa"/>
            <w:tcBorders>
              <w:top w:val="nil"/>
              <w:left w:val="nil"/>
              <w:bottom w:val="nil"/>
              <w:right w:val="nil"/>
            </w:tcBorders>
            <w:vAlign w:val="bottom"/>
          </w:tcPr>
          <w:p w14:paraId="095C97FD" w14:textId="77777777" w:rsidR="00C165F8" w:rsidRPr="001707CF" w:rsidRDefault="00C165F8" w:rsidP="008558ED">
            <w:pPr>
              <w:jc w:val="right"/>
              <w:rPr>
                <w:rFonts w:ascii="Tahoma" w:hAnsi="Tahoma" w:cs="Tahoma"/>
                <w:sz w:val="23"/>
                <w:szCs w:val="23"/>
                <w:lang w:val="sr-Latn-BA"/>
              </w:rPr>
            </w:pPr>
            <w:r w:rsidRPr="001707CF">
              <w:rPr>
                <w:rFonts w:ascii="Tahoma" w:hAnsi="Tahoma" w:cs="Tahoma"/>
                <w:sz w:val="23"/>
                <w:szCs w:val="23"/>
                <w:lang w:val="sr-Latn-BA"/>
              </w:rPr>
              <w:t>6.941.256</w:t>
            </w:r>
          </w:p>
        </w:tc>
        <w:tc>
          <w:tcPr>
            <w:tcW w:w="1680" w:type="dxa"/>
            <w:tcBorders>
              <w:top w:val="nil"/>
              <w:left w:val="nil"/>
              <w:bottom w:val="nil"/>
              <w:right w:val="nil"/>
            </w:tcBorders>
            <w:shd w:val="clear" w:color="auto" w:fill="auto"/>
            <w:noWrap/>
            <w:vAlign w:val="bottom"/>
          </w:tcPr>
          <w:p w14:paraId="403F7F5B" w14:textId="77777777" w:rsidR="00C165F8" w:rsidRPr="001707CF" w:rsidRDefault="00C165F8" w:rsidP="008558ED">
            <w:pPr>
              <w:jc w:val="right"/>
              <w:rPr>
                <w:rFonts w:ascii="Tahoma" w:hAnsi="Tahoma" w:cs="Tahoma"/>
                <w:sz w:val="23"/>
                <w:szCs w:val="23"/>
                <w:lang w:val="sr-Latn-BA"/>
              </w:rPr>
            </w:pPr>
            <w:r w:rsidRPr="001707CF">
              <w:rPr>
                <w:rFonts w:ascii="Tahoma" w:hAnsi="Tahoma" w:cs="Tahoma"/>
                <w:sz w:val="23"/>
                <w:szCs w:val="23"/>
                <w:lang w:val="sr-Latn-BA"/>
              </w:rPr>
              <w:t>6.813.917</w:t>
            </w:r>
          </w:p>
        </w:tc>
      </w:tr>
      <w:tr w:rsidR="00C165F8" w:rsidRPr="001707CF" w14:paraId="1815722C" w14:textId="77777777" w:rsidTr="008558ED">
        <w:trPr>
          <w:trHeight w:val="360"/>
          <w:jc w:val="center"/>
        </w:trPr>
        <w:tc>
          <w:tcPr>
            <w:tcW w:w="4395" w:type="dxa"/>
            <w:tcBorders>
              <w:top w:val="nil"/>
              <w:left w:val="nil"/>
              <w:right w:val="nil"/>
            </w:tcBorders>
            <w:shd w:val="clear" w:color="auto" w:fill="auto"/>
            <w:noWrap/>
            <w:vAlign w:val="center"/>
            <w:hideMark/>
          </w:tcPr>
          <w:p w14:paraId="73FCA16F" w14:textId="77777777" w:rsidR="00C165F8" w:rsidRPr="001707CF" w:rsidRDefault="00C165F8" w:rsidP="008558ED">
            <w:pPr>
              <w:rPr>
                <w:rFonts w:ascii="Tahoma" w:hAnsi="Tahoma" w:cs="Tahoma"/>
                <w:sz w:val="23"/>
                <w:szCs w:val="23"/>
                <w:lang w:val="sr-Latn-BA"/>
              </w:rPr>
            </w:pPr>
            <w:r w:rsidRPr="001707CF">
              <w:rPr>
                <w:rFonts w:ascii="Tahoma" w:hAnsi="Tahoma" w:cs="Tahoma"/>
                <w:sz w:val="23"/>
                <w:szCs w:val="23"/>
                <w:lang w:val="sr-Latn-BA"/>
              </w:rPr>
              <w:t>Vrijednost neto sredstava po udjelu</w:t>
            </w:r>
          </w:p>
        </w:tc>
        <w:tc>
          <w:tcPr>
            <w:tcW w:w="1455" w:type="dxa"/>
            <w:tcBorders>
              <w:top w:val="nil"/>
              <w:left w:val="nil"/>
              <w:right w:val="nil"/>
            </w:tcBorders>
            <w:shd w:val="clear" w:color="auto" w:fill="auto"/>
            <w:noWrap/>
            <w:vAlign w:val="bottom"/>
          </w:tcPr>
          <w:p w14:paraId="3DCA1064" w14:textId="77777777" w:rsidR="00C165F8" w:rsidRPr="001707CF" w:rsidRDefault="00C165F8" w:rsidP="008558ED">
            <w:pPr>
              <w:jc w:val="right"/>
              <w:rPr>
                <w:rFonts w:ascii="Tahoma" w:hAnsi="Tahoma" w:cs="Tahoma"/>
                <w:sz w:val="23"/>
                <w:szCs w:val="23"/>
                <w:lang w:val="sr-Latn-BA"/>
              </w:rPr>
            </w:pPr>
            <w:r>
              <w:rPr>
                <w:rFonts w:ascii="Tahoma" w:hAnsi="Tahoma" w:cs="Tahoma"/>
                <w:sz w:val="23"/>
                <w:szCs w:val="23"/>
                <w:lang w:val="sr-Latn-BA"/>
              </w:rPr>
              <w:t>3,1117</w:t>
            </w:r>
          </w:p>
        </w:tc>
        <w:tc>
          <w:tcPr>
            <w:tcW w:w="1905" w:type="dxa"/>
            <w:tcBorders>
              <w:top w:val="nil"/>
              <w:left w:val="nil"/>
              <w:right w:val="nil"/>
            </w:tcBorders>
            <w:vAlign w:val="bottom"/>
          </w:tcPr>
          <w:p w14:paraId="0BE3A9EB" w14:textId="77777777" w:rsidR="00C165F8" w:rsidRPr="001707CF" w:rsidRDefault="00C165F8" w:rsidP="008558ED">
            <w:pPr>
              <w:jc w:val="right"/>
              <w:rPr>
                <w:rFonts w:ascii="Tahoma" w:hAnsi="Tahoma" w:cs="Tahoma"/>
                <w:sz w:val="23"/>
                <w:szCs w:val="23"/>
                <w:lang w:val="sr-Latn-BA"/>
              </w:rPr>
            </w:pPr>
            <w:r w:rsidRPr="001707CF">
              <w:rPr>
                <w:rFonts w:ascii="Tahoma" w:hAnsi="Tahoma" w:cs="Tahoma"/>
                <w:sz w:val="23"/>
                <w:szCs w:val="23"/>
                <w:lang w:val="sr-Latn-BA"/>
              </w:rPr>
              <w:t>3,3057</w:t>
            </w:r>
          </w:p>
        </w:tc>
        <w:tc>
          <w:tcPr>
            <w:tcW w:w="1680" w:type="dxa"/>
            <w:tcBorders>
              <w:top w:val="nil"/>
              <w:left w:val="nil"/>
              <w:right w:val="nil"/>
            </w:tcBorders>
            <w:shd w:val="clear" w:color="auto" w:fill="auto"/>
            <w:noWrap/>
            <w:vAlign w:val="bottom"/>
          </w:tcPr>
          <w:p w14:paraId="37FA4AD4" w14:textId="77777777" w:rsidR="00C165F8" w:rsidRPr="001707CF" w:rsidRDefault="00C165F8" w:rsidP="008558ED">
            <w:pPr>
              <w:jc w:val="right"/>
              <w:rPr>
                <w:rFonts w:ascii="Tahoma" w:hAnsi="Tahoma" w:cs="Tahoma"/>
                <w:sz w:val="23"/>
                <w:szCs w:val="23"/>
                <w:lang w:val="sr-Latn-BA"/>
              </w:rPr>
            </w:pPr>
            <w:r w:rsidRPr="001707CF">
              <w:rPr>
                <w:rFonts w:ascii="Tahoma" w:hAnsi="Tahoma" w:cs="Tahoma"/>
                <w:sz w:val="23"/>
                <w:szCs w:val="23"/>
                <w:lang w:val="sr-Latn-BA"/>
              </w:rPr>
              <w:t>3,2240</w:t>
            </w:r>
          </w:p>
        </w:tc>
      </w:tr>
      <w:tr w:rsidR="00C165F8" w:rsidRPr="001707CF" w14:paraId="3573DA17" w14:textId="77777777" w:rsidTr="008558ED">
        <w:trPr>
          <w:trHeight w:val="360"/>
          <w:jc w:val="center"/>
        </w:trPr>
        <w:tc>
          <w:tcPr>
            <w:tcW w:w="4395" w:type="dxa"/>
            <w:tcBorders>
              <w:top w:val="nil"/>
              <w:left w:val="nil"/>
              <w:bottom w:val="single" w:sz="4" w:space="0" w:color="auto"/>
              <w:right w:val="nil"/>
            </w:tcBorders>
            <w:shd w:val="clear" w:color="auto" w:fill="auto"/>
            <w:noWrap/>
            <w:vAlign w:val="center"/>
            <w:hideMark/>
          </w:tcPr>
          <w:p w14:paraId="09C9BC95" w14:textId="77777777" w:rsidR="00C165F8" w:rsidRPr="001707CF" w:rsidRDefault="00C165F8" w:rsidP="008558ED">
            <w:pPr>
              <w:rPr>
                <w:rFonts w:ascii="Tahoma" w:hAnsi="Tahoma" w:cs="Tahoma"/>
                <w:sz w:val="23"/>
                <w:szCs w:val="23"/>
                <w:lang w:val="sr-Latn-BA"/>
              </w:rPr>
            </w:pPr>
            <w:r w:rsidRPr="001707CF">
              <w:rPr>
                <w:rFonts w:ascii="Tahoma" w:hAnsi="Tahoma" w:cs="Tahoma"/>
                <w:sz w:val="23"/>
                <w:szCs w:val="23"/>
                <w:lang w:val="sr-Latn-BA"/>
              </w:rPr>
              <w:t>Pokazatelj ukupnih troškova</w:t>
            </w:r>
          </w:p>
        </w:tc>
        <w:tc>
          <w:tcPr>
            <w:tcW w:w="1455" w:type="dxa"/>
            <w:tcBorders>
              <w:top w:val="nil"/>
              <w:left w:val="nil"/>
              <w:bottom w:val="single" w:sz="4" w:space="0" w:color="auto"/>
              <w:right w:val="nil"/>
            </w:tcBorders>
            <w:shd w:val="clear" w:color="auto" w:fill="auto"/>
            <w:noWrap/>
            <w:vAlign w:val="center"/>
          </w:tcPr>
          <w:p w14:paraId="1B545541" w14:textId="77777777" w:rsidR="00C165F8" w:rsidRPr="001707CF" w:rsidRDefault="00C165F8" w:rsidP="008558ED">
            <w:pPr>
              <w:jc w:val="right"/>
              <w:rPr>
                <w:rFonts w:ascii="Tahoma" w:hAnsi="Tahoma" w:cs="Tahoma"/>
                <w:sz w:val="23"/>
                <w:szCs w:val="23"/>
                <w:lang w:val="sr-Latn-BA"/>
              </w:rPr>
            </w:pPr>
            <w:r w:rsidRPr="00DC1602">
              <w:rPr>
                <w:rFonts w:ascii="Tahoma" w:hAnsi="Tahoma" w:cs="Tahoma"/>
                <w:sz w:val="23"/>
                <w:szCs w:val="23"/>
                <w:lang w:val="sr-Latn-BA"/>
              </w:rPr>
              <w:t>3,49</w:t>
            </w:r>
          </w:p>
        </w:tc>
        <w:tc>
          <w:tcPr>
            <w:tcW w:w="1905" w:type="dxa"/>
            <w:tcBorders>
              <w:top w:val="nil"/>
              <w:left w:val="nil"/>
              <w:bottom w:val="single" w:sz="4" w:space="0" w:color="auto"/>
              <w:right w:val="nil"/>
            </w:tcBorders>
            <w:vAlign w:val="center"/>
          </w:tcPr>
          <w:p w14:paraId="0D577024" w14:textId="77777777" w:rsidR="00C165F8" w:rsidRPr="001707CF" w:rsidRDefault="00C165F8" w:rsidP="008558ED">
            <w:pPr>
              <w:jc w:val="right"/>
              <w:rPr>
                <w:rFonts w:ascii="Tahoma" w:hAnsi="Tahoma" w:cs="Tahoma"/>
                <w:sz w:val="23"/>
                <w:szCs w:val="23"/>
                <w:lang w:val="sr-Latn-BA"/>
              </w:rPr>
            </w:pPr>
            <w:r w:rsidRPr="001707CF">
              <w:rPr>
                <w:rFonts w:ascii="Tahoma" w:hAnsi="Tahoma" w:cs="Tahoma"/>
                <w:sz w:val="23"/>
                <w:szCs w:val="23"/>
                <w:lang w:val="sr-Latn-BA"/>
              </w:rPr>
              <w:t>3,31</w:t>
            </w:r>
          </w:p>
        </w:tc>
        <w:tc>
          <w:tcPr>
            <w:tcW w:w="1680" w:type="dxa"/>
            <w:tcBorders>
              <w:top w:val="nil"/>
              <w:left w:val="nil"/>
              <w:bottom w:val="single" w:sz="4" w:space="0" w:color="auto"/>
              <w:right w:val="nil"/>
            </w:tcBorders>
            <w:shd w:val="clear" w:color="auto" w:fill="auto"/>
            <w:noWrap/>
            <w:vAlign w:val="center"/>
          </w:tcPr>
          <w:p w14:paraId="6E75BA2A" w14:textId="77777777" w:rsidR="00C165F8" w:rsidRPr="001707CF" w:rsidRDefault="00C165F8" w:rsidP="008558ED">
            <w:pPr>
              <w:jc w:val="right"/>
              <w:rPr>
                <w:rFonts w:ascii="Tahoma" w:hAnsi="Tahoma" w:cs="Tahoma"/>
                <w:sz w:val="23"/>
                <w:szCs w:val="23"/>
                <w:lang w:val="sr-Latn-BA"/>
              </w:rPr>
            </w:pPr>
            <w:r w:rsidRPr="001707CF">
              <w:rPr>
                <w:rFonts w:ascii="Tahoma" w:hAnsi="Tahoma" w:cs="Tahoma"/>
                <w:sz w:val="23"/>
                <w:szCs w:val="23"/>
                <w:lang w:val="sr-Latn-BA"/>
              </w:rPr>
              <w:t>3,47</w:t>
            </w:r>
          </w:p>
        </w:tc>
      </w:tr>
    </w:tbl>
    <w:p w14:paraId="38826F82" w14:textId="77777777" w:rsidR="00C165F8" w:rsidRDefault="00C165F8" w:rsidP="00C165F8">
      <w:pPr>
        <w:pStyle w:val="BodyText"/>
        <w:rPr>
          <w:rFonts w:ascii="Tahoma" w:hAnsi="Tahoma" w:cs="Tahoma"/>
          <w:sz w:val="23"/>
          <w:szCs w:val="23"/>
          <w:lang w:val="sr-Latn-BA"/>
        </w:rPr>
      </w:pPr>
    </w:p>
    <w:p w14:paraId="053BDAF7" w14:textId="77777777" w:rsidR="005A3717" w:rsidRDefault="005A3717" w:rsidP="00C165F8">
      <w:pPr>
        <w:pStyle w:val="BodyText"/>
        <w:rPr>
          <w:rFonts w:ascii="Tahoma" w:hAnsi="Tahoma" w:cs="Tahoma"/>
          <w:sz w:val="23"/>
          <w:szCs w:val="23"/>
          <w:lang w:val="sr-Latn-BA"/>
        </w:rPr>
      </w:pPr>
    </w:p>
    <w:p w14:paraId="51664F18" w14:textId="77777777" w:rsidR="005A3717" w:rsidRDefault="005A3717" w:rsidP="00C165F8">
      <w:pPr>
        <w:pStyle w:val="BodyText"/>
        <w:rPr>
          <w:rFonts w:ascii="Tahoma" w:hAnsi="Tahoma" w:cs="Tahoma"/>
          <w:sz w:val="23"/>
          <w:szCs w:val="23"/>
          <w:lang w:val="sr-Latn-BA"/>
        </w:rPr>
      </w:pPr>
    </w:p>
    <w:p w14:paraId="45C55891" w14:textId="77777777" w:rsidR="005A3717" w:rsidRDefault="005A3717" w:rsidP="00C165F8">
      <w:pPr>
        <w:pStyle w:val="BodyText"/>
        <w:rPr>
          <w:rFonts w:ascii="Tahoma" w:hAnsi="Tahoma" w:cs="Tahoma"/>
          <w:sz w:val="23"/>
          <w:szCs w:val="23"/>
          <w:lang w:val="sr-Latn-BA"/>
        </w:rPr>
      </w:pPr>
    </w:p>
    <w:p w14:paraId="3A9DF51C" w14:textId="77777777" w:rsidR="005A3717" w:rsidRPr="001707CF" w:rsidRDefault="005A3717" w:rsidP="00C165F8">
      <w:pPr>
        <w:pStyle w:val="BodyText"/>
        <w:rPr>
          <w:rFonts w:ascii="Tahoma" w:hAnsi="Tahoma" w:cs="Tahoma"/>
          <w:sz w:val="23"/>
          <w:szCs w:val="23"/>
          <w:lang w:val="sr-Latn-BA"/>
        </w:rPr>
      </w:pPr>
    </w:p>
    <w:p w14:paraId="7EFCAF2E" w14:textId="77777777" w:rsidR="00C165F8" w:rsidRPr="001707CF" w:rsidRDefault="00C165F8" w:rsidP="00C165F8">
      <w:pPr>
        <w:numPr>
          <w:ilvl w:val="0"/>
          <w:numId w:val="22"/>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lastRenderedPageBreak/>
        <w:t>SUDSKI SPOROVI</w:t>
      </w:r>
    </w:p>
    <w:p w14:paraId="3ED97990" w14:textId="77777777" w:rsidR="00C165F8" w:rsidRPr="001707CF" w:rsidRDefault="00C165F8" w:rsidP="00C165F8">
      <w:pPr>
        <w:spacing w:after="120"/>
        <w:jc w:val="both"/>
        <w:rPr>
          <w:rFonts w:ascii="Tahoma" w:hAnsi="Tahoma" w:cs="Tahoma"/>
          <w:sz w:val="23"/>
          <w:szCs w:val="23"/>
          <w:lang w:val="sr-Latn-BA"/>
        </w:rPr>
      </w:pPr>
      <w:r w:rsidRPr="001707CF">
        <w:rPr>
          <w:rFonts w:ascii="Tahoma" w:hAnsi="Tahoma" w:cs="Tahoma"/>
          <w:sz w:val="23"/>
          <w:szCs w:val="23"/>
          <w:lang w:val="sr-Latn-BA"/>
        </w:rPr>
        <w:t>Prema saznanjima rukovodstva Društva, protiv Fonda se ne vodi nijedan postupak.</w:t>
      </w:r>
    </w:p>
    <w:p w14:paraId="38195AE9" w14:textId="77777777" w:rsidR="00C165F8" w:rsidRPr="001707CF" w:rsidRDefault="00C165F8" w:rsidP="00C165F8">
      <w:pPr>
        <w:spacing w:after="120"/>
        <w:jc w:val="both"/>
        <w:rPr>
          <w:rFonts w:ascii="Tahoma" w:hAnsi="Tahoma" w:cs="Tahoma"/>
          <w:sz w:val="23"/>
          <w:szCs w:val="23"/>
          <w:lang w:val="sr-Latn-BA"/>
        </w:rPr>
      </w:pPr>
      <w:r w:rsidRPr="001707CF">
        <w:rPr>
          <w:rFonts w:ascii="Tahoma" w:hAnsi="Tahoma" w:cs="Tahoma"/>
          <w:sz w:val="23"/>
          <w:szCs w:val="23"/>
          <w:lang w:val="sr-Latn-BA"/>
        </w:rPr>
        <w:t>Fond nije pokrenuo nijedan sudski spor.</w:t>
      </w:r>
    </w:p>
    <w:p w14:paraId="3FC16F11" w14:textId="77777777" w:rsidR="00C165F8" w:rsidRPr="001707CF" w:rsidRDefault="00C165F8" w:rsidP="00C165F8">
      <w:pPr>
        <w:spacing w:after="120"/>
        <w:jc w:val="both"/>
        <w:rPr>
          <w:rFonts w:ascii="Tahoma" w:hAnsi="Tahoma" w:cs="Tahoma"/>
          <w:sz w:val="23"/>
          <w:szCs w:val="23"/>
          <w:lang w:val="sr-Latn-BA"/>
        </w:rPr>
      </w:pPr>
    </w:p>
    <w:p w14:paraId="7ACEB185" w14:textId="77777777" w:rsidR="00C165F8" w:rsidRPr="001707CF" w:rsidRDefault="00C165F8" w:rsidP="00C165F8">
      <w:pPr>
        <w:numPr>
          <w:ilvl w:val="0"/>
          <w:numId w:val="22"/>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FINANSIJSKI INSTRUMENTI</w:t>
      </w:r>
    </w:p>
    <w:p w14:paraId="667D2D0E" w14:textId="77777777" w:rsidR="00C165F8" w:rsidRPr="00225E67" w:rsidRDefault="00C165F8" w:rsidP="00C165F8">
      <w:pPr>
        <w:jc w:val="both"/>
        <w:rPr>
          <w:rFonts w:ascii="Tahoma" w:hAnsi="Tahoma" w:cs="Tahoma"/>
          <w:b/>
          <w:noProof/>
          <w:sz w:val="23"/>
          <w:szCs w:val="23"/>
          <w:lang w:val="sr-Latn-BA"/>
        </w:rPr>
      </w:pPr>
      <w:bookmarkStart w:id="9" w:name="_Hlk85191226"/>
      <w:r w:rsidRPr="00225E67">
        <w:rPr>
          <w:rFonts w:ascii="Tahoma" w:hAnsi="Tahoma" w:cs="Tahoma"/>
          <w:b/>
          <w:noProof/>
          <w:sz w:val="23"/>
          <w:szCs w:val="23"/>
          <w:lang w:val="sr-Latn-BA"/>
        </w:rPr>
        <w:t>Tržišni rizik ( rizik promjene cijena finansijskih instumenata )</w:t>
      </w:r>
    </w:p>
    <w:p w14:paraId="6B366818" w14:textId="77777777" w:rsidR="00C165F8" w:rsidRPr="00225E67" w:rsidRDefault="00C165F8" w:rsidP="00C165F8">
      <w:pPr>
        <w:jc w:val="both"/>
        <w:rPr>
          <w:rFonts w:ascii="Tahoma" w:hAnsi="Tahoma" w:cs="Tahoma"/>
          <w:b/>
          <w:noProof/>
          <w:sz w:val="23"/>
          <w:szCs w:val="23"/>
          <w:lang w:val="sr-Latn-BA"/>
        </w:rPr>
      </w:pPr>
    </w:p>
    <w:p w14:paraId="21446425" w14:textId="77777777" w:rsidR="00C165F8" w:rsidRPr="00225E67" w:rsidRDefault="00C165F8" w:rsidP="00C165F8">
      <w:pPr>
        <w:jc w:val="both"/>
        <w:rPr>
          <w:rFonts w:ascii="Tahoma" w:hAnsi="Tahoma" w:cs="Tahoma"/>
          <w:noProof/>
          <w:sz w:val="23"/>
          <w:szCs w:val="23"/>
          <w:lang w:val="sr-Latn-BA"/>
        </w:rPr>
      </w:pPr>
      <w:r w:rsidRPr="00225E67">
        <w:rPr>
          <w:rFonts w:ascii="Tahoma" w:hAnsi="Tahoma" w:cs="Tahoma"/>
          <w:noProof/>
          <w:sz w:val="23"/>
          <w:szCs w:val="23"/>
          <w:lang w:val="sr-Latn-BA"/>
        </w:rPr>
        <w:t>Tržišni rizik predstavlja rizik nastanka gubitka vrijednosti imovine investicionog fonda usljed promjene tržišnih cijena imovine u portfelju fonda.</w:t>
      </w:r>
    </w:p>
    <w:p w14:paraId="57C2A9FE" w14:textId="77777777" w:rsidR="00C165F8" w:rsidRPr="00225E67" w:rsidRDefault="00C165F8" w:rsidP="00C165F8">
      <w:pPr>
        <w:jc w:val="both"/>
        <w:rPr>
          <w:rFonts w:ascii="Tahoma" w:hAnsi="Tahoma" w:cs="Tahoma"/>
          <w:noProof/>
          <w:sz w:val="23"/>
          <w:szCs w:val="23"/>
          <w:lang w:val="sr-Latn-BA"/>
        </w:rPr>
      </w:pPr>
      <w:r w:rsidRPr="00225E67">
        <w:rPr>
          <w:rFonts w:ascii="Tahoma" w:hAnsi="Tahoma" w:cs="Tahoma"/>
          <w:noProof/>
          <w:sz w:val="23"/>
          <w:szCs w:val="23"/>
          <w:lang w:val="sr-Latn-BA"/>
        </w:rPr>
        <w:t xml:space="preserve">U skladu sa internom klasifikacijom nivoa rizika, rizik promjene cijena finansijskih instumenata klasifikovan je u tri grupe – visoki, niski i umjereni rizik . </w:t>
      </w:r>
    </w:p>
    <w:p w14:paraId="62006B35" w14:textId="77777777" w:rsidR="00C165F8" w:rsidRPr="00225E67" w:rsidRDefault="00C165F8" w:rsidP="00C165F8">
      <w:pPr>
        <w:jc w:val="both"/>
        <w:rPr>
          <w:rFonts w:ascii="Tahoma" w:hAnsi="Tahoma" w:cs="Tahoma"/>
          <w:noProof/>
          <w:sz w:val="23"/>
          <w:szCs w:val="23"/>
          <w:lang w:val="sr-Latn-BA"/>
        </w:rPr>
      </w:pPr>
    </w:p>
    <w:tbl>
      <w:tblPr>
        <w:tblW w:w="7645" w:type="dxa"/>
        <w:tblInd w:w="118" w:type="dxa"/>
        <w:tblLook w:val="04A0" w:firstRow="1" w:lastRow="0" w:firstColumn="1" w:lastColumn="0" w:noHBand="0" w:noVBand="1"/>
      </w:tblPr>
      <w:tblGrid>
        <w:gridCol w:w="2117"/>
        <w:gridCol w:w="2976"/>
        <w:gridCol w:w="2552"/>
      </w:tblGrid>
      <w:tr w:rsidR="00C165F8" w:rsidRPr="00225E67" w14:paraId="22250BC0" w14:textId="77777777" w:rsidTr="008558ED">
        <w:trPr>
          <w:trHeight w:val="308"/>
        </w:trPr>
        <w:tc>
          <w:tcPr>
            <w:tcW w:w="2117"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451DCCB6" w14:textId="77777777" w:rsidR="00C165F8" w:rsidRPr="00225E67" w:rsidRDefault="00C165F8" w:rsidP="008558ED">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Nivo rizika</w:t>
            </w:r>
          </w:p>
        </w:tc>
        <w:tc>
          <w:tcPr>
            <w:tcW w:w="2976" w:type="dxa"/>
            <w:tcBorders>
              <w:top w:val="single" w:sz="8" w:space="0" w:color="auto"/>
              <w:left w:val="nil"/>
              <w:bottom w:val="single" w:sz="4" w:space="0" w:color="auto"/>
              <w:right w:val="single" w:sz="4" w:space="0" w:color="auto"/>
            </w:tcBorders>
            <w:shd w:val="clear" w:color="auto" w:fill="auto"/>
            <w:noWrap/>
            <w:vAlign w:val="bottom"/>
            <w:hideMark/>
          </w:tcPr>
          <w:p w14:paraId="234330A5" w14:textId="77777777" w:rsidR="00C165F8" w:rsidRPr="00225E67" w:rsidRDefault="00C165F8" w:rsidP="008558ED">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Iznos</w:t>
            </w:r>
          </w:p>
        </w:tc>
        <w:tc>
          <w:tcPr>
            <w:tcW w:w="2552" w:type="dxa"/>
            <w:tcBorders>
              <w:top w:val="single" w:sz="8" w:space="0" w:color="auto"/>
              <w:left w:val="nil"/>
              <w:bottom w:val="single" w:sz="4" w:space="0" w:color="auto"/>
              <w:right w:val="single" w:sz="8" w:space="0" w:color="auto"/>
            </w:tcBorders>
            <w:shd w:val="clear" w:color="auto" w:fill="auto"/>
            <w:noWrap/>
            <w:vAlign w:val="bottom"/>
            <w:hideMark/>
          </w:tcPr>
          <w:p w14:paraId="63ADEB34" w14:textId="77777777" w:rsidR="00C165F8" w:rsidRPr="00225E67" w:rsidRDefault="00C165F8" w:rsidP="008558ED">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w:t>
            </w:r>
          </w:p>
        </w:tc>
      </w:tr>
      <w:tr w:rsidR="00C165F8" w:rsidRPr="00225E67" w14:paraId="0726B2DB" w14:textId="77777777" w:rsidTr="008558ED">
        <w:trPr>
          <w:trHeight w:val="300"/>
        </w:trPr>
        <w:tc>
          <w:tcPr>
            <w:tcW w:w="2117" w:type="dxa"/>
            <w:tcBorders>
              <w:top w:val="nil"/>
              <w:left w:val="single" w:sz="8" w:space="0" w:color="auto"/>
              <w:bottom w:val="single" w:sz="4" w:space="0" w:color="auto"/>
              <w:right w:val="single" w:sz="4" w:space="0" w:color="auto"/>
            </w:tcBorders>
            <w:shd w:val="clear" w:color="auto" w:fill="auto"/>
            <w:noWrap/>
            <w:vAlign w:val="bottom"/>
            <w:hideMark/>
          </w:tcPr>
          <w:p w14:paraId="024080C6" w14:textId="77777777" w:rsidR="00C165F8" w:rsidRPr="00225E67" w:rsidRDefault="00C165F8" w:rsidP="008558ED">
            <w:pPr>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visok</w:t>
            </w:r>
          </w:p>
        </w:tc>
        <w:tc>
          <w:tcPr>
            <w:tcW w:w="2976" w:type="dxa"/>
            <w:tcBorders>
              <w:top w:val="nil"/>
              <w:left w:val="nil"/>
              <w:bottom w:val="single" w:sz="4" w:space="0" w:color="auto"/>
              <w:right w:val="single" w:sz="4" w:space="0" w:color="auto"/>
            </w:tcBorders>
            <w:shd w:val="clear" w:color="auto" w:fill="auto"/>
            <w:noWrap/>
            <w:vAlign w:val="bottom"/>
            <w:hideMark/>
          </w:tcPr>
          <w:p w14:paraId="7F98CBFF" w14:textId="77777777" w:rsidR="00C165F8" w:rsidRPr="00225E67" w:rsidRDefault="00C165F8" w:rsidP="008558ED">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43.414</w:t>
            </w:r>
          </w:p>
        </w:tc>
        <w:tc>
          <w:tcPr>
            <w:tcW w:w="2552" w:type="dxa"/>
            <w:tcBorders>
              <w:top w:val="nil"/>
              <w:left w:val="nil"/>
              <w:bottom w:val="single" w:sz="4" w:space="0" w:color="auto"/>
              <w:right w:val="single" w:sz="8" w:space="0" w:color="auto"/>
            </w:tcBorders>
            <w:shd w:val="clear" w:color="auto" w:fill="auto"/>
            <w:noWrap/>
            <w:vAlign w:val="bottom"/>
            <w:hideMark/>
          </w:tcPr>
          <w:p w14:paraId="23D6EBF4" w14:textId="77777777" w:rsidR="00C165F8" w:rsidRPr="00225E67" w:rsidRDefault="00C165F8" w:rsidP="008558ED">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0,93%</w:t>
            </w:r>
          </w:p>
        </w:tc>
      </w:tr>
      <w:tr w:rsidR="00C165F8" w:rsidRPr="00225E67" w14:paraId="3534178D" w14:textId="77777777" w:rsidTr="008558ED">
        <w:trPr>
          <w:trHeight w:val="300"/>
        </w:trPr>
        <w:tc>
          <w:tcPr>
            <w:tcW w:w="2117" w:type="dxa"/>
            <w:tcBorders>
              <w:top w:val="nil"/>
              <w:left w:val="single" w:sz="8" w:space="0" w:color="auto"/>
              <w:bottom w:val="single" w:sz="4" w:space="0" w:color="auto"/>
              <w:right w:val="single" w:sz="4" w:space="0" w:color="auto"/>
            </w:tcBorders>
            <w:shd w:val="clear" w:color="auto" w:fill="auto"/>
            <w:noWrap/>
            <w:vAlign w:val="bottom"/>
            <w:hideMark/>
          </w:tcPr>
          <w:p w14:paraId="72A82C69" w14:textId="77777777" w:rsidR="00C165F8" w:rsidRPr="00225E67" w:rsidRDefault="00C165F8" w:rsidP="008558ED">
            <w:pPr>
              <w:rPr>
                <w:rFonts w:ascii="Tahoma" w:hAnsi="Tahoma" w:cs="Tahoma"/>
                <w:noProof/>
                <w:sz w:val="23"/>
                <w:szCs w:val="23"/>
                <w:lang w:val="sr-Latn-BA" w:eastAsia="sr-Latn-BA"/>
              </w:rPr>
            </w:pPr>
            <w:r w:rsidRPr="00225E67">
              <w:rPr>
                <w:rFonts w:ascii="Tahoma" w:hAnsi="Tahoma" w:cs="Tahoma"/>
                <w:noProof/>
                <w:sz w:val="23"/>
                <w:szCs w:val="23"/>
                <w:lang w:val="sr-Latn-BA" w:eastAsia="sr-Latn-BA"/>
              </w:rPr>
              <w:t>umjeren</w:t>
            </w:r>
          </w:p>
        </w:tc>
        <w:tc>
          <w:tcPr>
            <w:tcW w:w="2976" w:type="dxa"/>
            <w:tcBorders>
              <w:top w:val="nil"/>
              <w:left w:val="nil"/>
              <w:bottom w:val="single" w:sz="4" w:space="0" w:color="auto"/>
              <w:right w:val="single" w:sz="4" w:space="0" w:color="auto"/>
            </w:tcBorders>
            <w:shd w:val="clear" w:color="auto" w:fill="auto"/>
            <w:noWrap/>
            <w:vAlign w:val="bottom"/>
            <w:hideMark/>
          </w:tcPr>
          <w:p w14:paraId="38BCA278" w14:textId="77777777" w:rsidR="00C165F8" w:rsidRPr="00225E67" w:rsidRDefault="00C165F8" w:rsidP="008558ED">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1.528.579</w:t>
            </w:r>
          </w:p>
        </w:tc>
        <w:tc>
          <w:tcPr>
            <w:tcW w:w="2552" w:type="dxa"/>
            <w:tcBorders>
              <w:top w:val="nil"/>
              <w:left w:val="nil"/>
              <w:bottom w:val="single" w:sz="4" w:space="0" w:color="auto"/>
              <w:right w:val="single" w:sz="8" w:space="0" w:color="auto"/>
            </w:tcBorders>
            <w:shd w:val="clear" w:color="auto" w:fill="auto"/>
            <w:noWrap/>
            <w:vAlign w:val="bottom"/>
            <w:hideMark/>
          </w:tcPr>
          <w:p w14:paraId="37B1A5D8" w14:textId="77777777" w:rsidR="00C165F8" w:rsidRPr="00225E67" w:rsidRDefault="00C165F8" w:rsidP="008558ED">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32,81%</w:t>
            </w:r>
          </w:p>
        </w:tc>
      </w:tr>
      <w:tr w:rsidR="00C165F8" w:rsidRPr="00225E67" w14:paraId="23016EBE" w14:textId="77777777" w:rsidTr="008558ED">
        <w:trPr>
          <w:trHeight w:val="300"/>
        </w:trPr>
        <w:tc>
          <w:tcPr>
            <w:tcW w:w="2117" w:type="dxa"/>
            <w:tcBorders>
              <w:top w:val="nil"/>
              <w:left w:val="single" w:sz="8" w:space="0" w:color="auto"/>
              <w:bottom w:val="single" w:sz="4" w:space="0" w:color="auto"/>
              <w:right w:val="single" w:sz="4" w:space="0" w:color="auto"/>
            </w:tcBorders>
            <w:shd w:val="clear" w:color="auto" w:fill="auto"/>
            <w:noWrap/>
            <w:vAlign w:val="bottom"/>
            <w:hideMark/>
          </w:tcPr>
          <w:p w14:paraId="2A784C06" w14:textId="77777777" w:rsidR="00C165F8" w:rsidRPr="00225E67" w:rsidRDefault="00C165F8" w:rsidP="008558ED">
            <w:pPr>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nizak</w:t>
            </w:r>
          </w:p>
        </w:tc>
        <w:tc>
          <w:tcPr>
            <w:tcW w:w="2976" w:type="dxa"/>
            <w:tcBorders>
              <w:top w:val="nil"/>
              <w:left w:val="nil"/>
              <w:bottom w:val="single" w:sz="4" w:space="0" w:color="auto"/>
              <w:right w:val="single" w:sz="4" w:space="0" w:color="auto"/>
            </w:tcBorders>
            <w:shd w:val="clear" w:color="auto" w:fill="auto"/>
            <w:noWrap/>
            <w:vAlign w:val="bottom"/>
            <w:hideMark/>
          </w:tcPr>
          <w:p w14:paraId="640946D0" w14:textId="77777777" w:rsidR="00C165F8" w:rsidRPr="00225E67" w:rsidRDefault="00C165F8" w:rsidP="008558ED">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3.086.843</w:t>
            </w:r>
          </w:p>
        </w:tc>
        <w:tc>
          <w:tcPr>
            <w:tcW w:w="2552" w:type="dxa"/>
            <w:tcBorders>
              <w:top w:val="nil"/>
              <w:left w:val="nil"/>
              <w:bottom w:val="single" w:sz="4" w:space="0" w:color="auto"/>
              <w:right w:val="single" w:sz="8" w:space="0" w:color="auto"/>
            </w:tcBorders>
            <w:shd w:val="clear" w:color="auto" w:fill="auto"/>
            <w:noWrap/>
            <w:vAlign w:val="bottom"/>
            <w:hideMark/>
          </w:tcPr>
          <w:p w14:paraId="52EE8216" w14:textId="77777777" w:rsidR="00C165F8" w:rsidRPr="00225E67" w:rsidRDefault="00C165F8" w:rsidP="008558ED">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66,26%</w:t>
            </w:r>
          </w:p>
        </w:tc>
      </w:tr>
      <w:tr w:rsidR="00C165F8" w:rsidRPr="00225E67" w14:paraId="4629A906" w14:textId="77777777" w:rsidTr="008558ED">
        <w:trPr>
          <w:trHeight w:val="315"/>
        </w:trPr>
        <w:tc>
          <w:tcPr>
            <w:tcW w:w="2117" w:type="dxa"/>
            <w:tcBorders>
              <w:top w:val="nil"/>
              <w:left w:val="single" w:sz="8" w:space="0" w:color="auto"/>
              <w:bottom w:val="single" w:sz="8" w:space="0" w:color="auto"/>
              <w:right w:val="single" w:sz="4" w:space="0" w:color="auto"/>
            </w:tcBorders>
            <w:shd w:val="clear" w:color="auto" w:fill="auto"/>
            <w:noWrap/>
            <w:vAlign w:val="bottom"/>
            <w:hideMark/>
          </w:tcPr>
          <w:p w14:paraId="09024652" w14:textId="77777777" w:rsidR="00C165F8" w:rsidRPr="00225E67" w:rsidRDefault="00C165F8" w:rsidP="008558ED">
            <w:pP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Ukupno</w:t>
            </w:r>
          </w:p>
        </w:tc>
        <w:tc>
          <w:tcPr>
            <w:tcW w:w="2976" w:type="dxa"/>
            <w:tcBorders>
              <w:top w:val="nil"/>
              <w:left w:val="nil"/>
              <w:bottom w:val="single" w:sz="8" w:space="0" w:color="auto"/>
              <w:right w:val="single" w:sz="4" w:space="0" w:color="auto"/>
            </w:tcBorders>
            <w:shd w:val="clear" w:color="auto" w:fill="auto"/>
            <w:noWrap/>
            <w:vAlign w:val="bottom"/>
            <w:hideMark/>
          </w:tcPr>
          <w:p w14:paraId="37505C5B" w14:textId="77777777" w:rsidR="00C165F8" w:rsidRPr="00225E67" w:rsidRDefault="00C165F8" w:rsidP="008558ED">
            <w:pPr>
              <w:jc w:val="right"/>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4.658.835</w:t>
            </w:r>
          </w:p>
        </w:tc>
        <w:tc>
          <w:tcPr>
            <w:tcW w:w="2552" w:type="dxa"/>
            <w:tcBorders>
              <w:top w:val="nil"/>
              <w:left w:val="nil"/>
              <w:bottom w:val="single" w:sz="8" w:space="0" w:color="auto"/>
              <w:right w:val="single" w:sz="8" w:space="0" w:color="auto"/>
            </w:tcBorders>
            <w:shd w:val="clear" w:color="auto" w:fill="auto"/>
            <w:noWrap/>
            <w:vAlign w:val="bottom"/>
            <w:hideMark/>
          </w:tcPr>
          <w:p w14:paraId="20F3DB1D" w14:textId="77777777" w:rsidR="00C165F8" w:rsidRPr="00225E67" w:rsidRDefault="00C165F8" w:rsidP="008558ED">
            <w:pPr>
              <w:jc w:val="right"/>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100,00%</w:t>
            </w:r>
          </w:p>
        </w:tc>
      </w:tr>
    </w:tbl>
    <w:p w14:paraId="47461B94" w14:textId="77777777" w:rsidR="00C165F8" w:rsidRPr="00225E67" w:rsidRDefault="00C165F8" w:rsidP="00C165F8">
      <w:pPr>
        <w:jc w:val="both"/>
        <w:rPr>
          <w:rFonts w:ascii="Tahoma" w:hAnsi="Tahoma" w:cs="Tahoma"/>
          <w:noProof/>
          <w:sz w:val="23"/>
          <w:szCs w:val="23"/>
          <w:lang w:val="sr-Latn-BA"/>
        </w:rPr>
      </w:pPr>
    </w:p>
    <w:p w14:paraId="679CD2C8" w14:textId="77777777" w:rsidR="00C165F8" w:rsidRPr="00225E67" w:rsidRDefault="00C165F8" w:rsidP="00C165F8">
      <w:pPr>
        <w:spacing w:after="120"/>
        <w:rPr>
          <w:rFonts w:ascii="Tahoma" w:hAnsi="Tahoma" w:cs="Tahoma"/>
          <w:noProof/>
          <w:sz w:val="23"/>
          <w:szCs w:val="23"/>
          <w:lang w:val="sr-Latn-BA"/>
        </w:rPr>
      </w:pPr>
      <w:r w:rsidRPr="00225E67">
        <w:rPr>
          <w:rFonts w:ascii="Tahoma" w:hAnsi="Tahoma" w:cs="Tahoma"/>
          <w:noProof/>
          <w:sz w:val="23"/>
          <w:szCs w:val="23"/>
          <w:lang w:val="sr-Latn-BA"/>
        </w:rPr>
        <w:t>Kako je nizak nivo rizika dominantan, u skladu sa internim procedurama rizik promjene cijena finansijskih instrumenata je nizak.</w:t>
      </w:r>
    </w:p>
    <w:p w14:paraId="064F3094" w14:textId="77777777" w:rsidR="00C165F8" w:rsidRPr="00225E67" w:rsidRDefault="00C165F8" w:rsidP="00C165F8">
      <w:pPr>
        <w:spacing w:after="120"/>
        <w:rPr>
          <w:rFonts w:ascii="Tahoma" w:hAnsi="Tahoma" w:cs="Tahoma"/>
          <w:noProof/>
          <w:sz w:val="23"/>
          <w:szCs w:val="23"/>
          <w:lang w:val="sr-Latn-BA"/>
        </w:rPr>
      </w:pPr>
      <w:r w:rsidRPr="00225E67">
        <w:rPr>
          <w:rFonts w:ascii="Tahoma" w:hAnsi="Tahoma" w:cs="Tahoma"/>
          <w:noProof/>
          <w:sz w:val="23"/>
          <w:szCs w:val="23"/>
          <w:lang w:val="sr-Latn-BA"/>
        </w:rPr>
        <w:t xml:space="preserve">Preporuka: Posebnu pažnju je potrebno obratiti na emitente Birač a.d. Zvornik - u stečaju, Telekom Srpske a.d. Banjaluka, Hidroelektrane na Vrbasu a.d. M.Grad i Krka dd Novo Mesto kod kojih je tržišna cijena značajno odstupala u odnosu na posmatrani period od 31.12.2023. godine, </w:t>
      </w:r>
    </w:p>
    <w:p w14:paraId="27076327" w14:textId="77777777" w:rsidR="00C165F8" w:rsidRPr="00225E67" w:rsidRDefault="00C165F8" w:rsidP="00C165F8">
      <w:pPr>
        <w:spacing w:after="120"/>
        <w:rPr>
          <w:rFonts w:ascii="Tahoma" w:hAnsi="Tahoma" w:cs="Tahoma"/>
          <w:b/>
          <w:bCs/>
          <w:noProof/>
          <w:sz w:val="23"/>
          <w:szCs w:val="23"/>
          <w:lang w:val="sr-Latn-BA"/>
        </w:rPr>
      </w:pPr>
      <w:r w:rsidRPr="00225E67">
        <w:rPr>
          <w:rFonts w:ascii="Tahoma" w:hAnsi="Tahoma" w:cs="Tahoma"/>
          <w:b/>
          <w:bCs/>
          <w:noProof/>
          <w:sz w:val="23"/>
          <w:szCs w:val="23"/>
          <w:lang w:val="sr-Latn-BA"/>
        </w:rPr>
        <w:t>Valutni rizik</w:t>
      </w:r>
    </w:p>
    <w:p w14:paraId="61738A49" w14:textId="77777777" w:rsidR="00C165F8" w:rsidRPr="00225E67" w:rsidRDefault="00C165F8" w:rsidP="00C165F8">
      <w:pPr>
        <w:jc w:val="both"/>
        <w:rPr>
          <w:rFonts w:ascii="Tahoma" w:hAnsi="Tahoma" w:cs="Tahoma"/>
          <w:noProof/>
          <w:sz w:val="23"/>
          <w:szCs w:val="23"/>
          <w:lang w:val="sr-Latn-BA"/>
        </w:rPr>
      </w:pPr>
      <w:r w:rsidRPr="00225E67">
        <w:rPr>
          <w:rFonts w:ascii="Tahoma" w:hAnsi="Tahoma" w:cs="Tahoma"/>
          <w:noProof/>
          <w:sz w:val="23"/>
          <w:szCs w:val="23"/>
          <w:lang w:val="sr-Latn-BA"/>
        </w:rPr>
        <w:t>U skladu sa internom klasifikacijom nivoa rizika, valutni rizik klasifikovan je u tri grupe:</w:t>
      </w:r>
    </w:p>
    <w:p w14:paraId="288CF86C" w14:textId="77777777" w:rsidR="00C165F8" w:rsidRPr="00225E67" w:rsidRDefault="00C165F8" w:rsidP="00C165F8">
      <w:pPr>
        <w:ind w:firstLine="708"/>
        <w:jc w:val="both"/>
        <w:rPr>
          <w:rFonts w:ascii="Tahoma" w:hAnsi="Tahoma" w:cs="Tahoma"/>
          <w:noProof/>
          <w:sz w:val="23"/>
          <w:szCs w:val="23"/>
          <w:lang w:val="sr-Latn-BA"/>
        </w:rPr>
      </w:pPr>
      <w:r w:rsidRPr="00225E67">
        <w:rPr>
          <w:rFonts w:ascii="Tahoma" w:hAnsi="Tahoma" w:cs="Tahoma"/>
          <w:noProof/>
          <w:sz w:val="23"/>
          <w:szCs w:val="23"/>
          <w:lang w:val="sr-Latn-BA"/>
        </w:rPr>
        <w:t>•</w:t>
      </w:r>
      <w:r w:rsidRPr="00225E67">
        <w:rPr>
          <w:rFonts w:ascii="Tahoma" w:hAnsi="Tahoma" w:cs="Tahoma"/>
          <w:noProof/>
          <w:sz w:val="23"/>
          <w:szCs w:val="23"/>
          <w:lang w:val="sr-Latn-BA"/>
        </w:rPr>
        <w:tab/>
        <w:t>Visok nivo rizika -ukoliko se više od 40% imovine fonda nalazi u stranoj valuti</w:t>
      </w:r>
    </w:p>
    <w:p w14:paraId="43232246" w14:textId="77777777" w:rsidR="00C165F8" w:rsidRPr="00225E67" w:rsidRDefault="00C165F8" w:rsidP="00C165F8">
      <w:pPr>
        <w:ind w:firstLine="708"/>
        <w:jc w:val="both"/>
        <w:rPr>
          <w:rFonts w:ascii="Tahoma" w:hAnsi="Tahoma" w:cs="Tahoma"/>
          <w:noProof/>
          <w:sz w:val="23"/>
          <w:szCs w:val="23"/>
          <w:lang w:val="sr-Latn-BA"/>
        </w:rPr>
      </w:pPr>
      <w:r w:rsidRPr="00225E67">
        <w:rPr>
          <w:rFonts w:ascii="Tahoma" w:hAnsi="Tahoma" w:cs="Tahoma"/>
          <w:noProof/>
          <w:sz w:val="23"/>
          <w:szCs w:val="23"/>
          <w:lang w:val="sr-Latn-BA"/>
        </w:rPr>
        <w:t>•</w:t>
      </w:r>
      <w:r w:rsidRPr="00225E67">
        <w:rPr>
          <w:rFonts w:ascii="Tahoma" w:hAnsi="Tahoma" w:cs="Tahoma"/>
          <w:noProof/>
          <w:sz w:val="23"/>
          <w:szCs w:val="23"/>
          <w:lang w:val="sr-Latn-BA"/>
        </w:rPr>
        <w:tab/>
        <w:t>Umjeren nivo rizika -ukoliko se 20-40% imovine fonda nalazi u stranoj valuti</w:t>
      </w:r>
    </w:p>
    <w:p w14:paraId="35E6A582" w14:textId="77777777" w:rsidR="00C165F8" w:rsidRPr="00225E67" w:rsidRDefault="00C165F8" w:rsidP="00C165F8">
      <w:pPr>
        <w:ind w:firstLine="708"/>
        <w:jc w:val="both"/>
        <w:rPr>
          <w:rFonts w:ascii="Tahoma" w:hAnsi="Tahoma" w:cs="Tahoma"/>
          <w:noProof/>
          <w:sz w:val="23"/>
          <w:szCs w:val="23"/>
          <w:lang w:val="sr-Latn-BA"/>
        </w:rPr>
      </w:pPr>
      <w:r w:rsidRPr="00225E67">
        <w:rPr>
          <w:rFonts w:ascii="Tahoma" w:hAnsi="Tahoma" w:cs="Tahoma"/>
          <w:noProof/>
          <w:sz w:val="23"/>
          <w:szCs w:val="23"/>
          <w:lang w:val="sr-Latn-BA"/>
        </w:rPr>
        <w:t>•</w:t>
      </w:r>
      <w:r w:rsidRPr="00225E67">
        <w:rPr>
          <w:rFonts w:ascii="Tahoma" w:hAnsi="Tahoma" w:cs="Tahoma"/>
          <w:noProof/>
          <w:sz w:val="23"/>
          <w:szCs w:val="23"/>
          <w:lang w:val="sr-Latn-BA"/>
        </w:rPr>
        <w:tab/>
        <w:t>Nizak nivo rizika -ukoliko se manje od 20% imovine fonda nalazi u stranoj valuti</w:t>
      </w:r>
    </w:p>
    <w:p w14:paraId="6C682A0A" w14:textId="77777777" w:rsidR="00C165F8" w:rsidRPr="00225E67" w:rsidRDefault="00C165F8" w:rsidP="00C165F8">
      <w:pPr>
        <w:jc w:val="both"/>
        <w:rPr>
          <w:rFonts w:ascii="Tahoma" w:hAnsi="Tahoma" w:cs="Tahoma"/>
          <w:noProof/>
          <w:sz w:val="23"/>
          <w:szCs w:val="23"/>
          <w:lang w:val="sr-Latn-BA"/>
        </w:rPr>
      </w:pPr>
      <w:r w:rsidRPr="00225E67">
        <w:rPr>
          <w:rFonts w:ascii="Tahoma" w:hAnsi="Tahoma" w:cs="Tahoma"/>
          <w:noProof/>
          <w:sz w:val="23"/>
          <w:szCs w:val="23"/>
          <w:lang w:val="sr-Latn-BA"/>
        </w:rPr>
        <w:t>U narednoj tabeli prikazani su pregled imovine fonda po valutama</w:t>
      </w:r>
    </w:p>
    <w:p w14:paraId="7321BC36" w14:textId="77777777" w:rsidR="00C165F8" w:rsidRPr="00225E67" w:rsidRDefault="00C165F8" w:rsidP="00C165F8">
      <w:pPr>
        <w:jc w:val="both"/>
        <w:rPr>
          <w:rFonts w:ascii="Tahoma" w:hAnsi="Tahoma" w:cs="Tahoma"/>
          <w:noProof/>
          <w:sz w:val="23"/>
          <w:szCs w:val="23"/>
          <w:lang w:val="sr-Latn-BA"/>
        </w:rPr>
      </w:pPr>
      <w:r w:rsidRPr="00225E67">
        <w:rPr>
          <w:rFonts w:ascii="Tahoma" w:hAnsi="Tahoma" w:cs="Tahoma"/>
          <w:noProof/>
          <w:sz w:val="23"/>
          <w:szCs w:val="23"/>
          <w:lang w:val="sr-Latn-BA"/>
        </w:rPr>
        <w:t>Pregled imovine po valutama na 31.12.2024. godine:</w:t>
      </w:r>
    </w:p>
    <w:p w14:paraId="703E6A1C" w14:textId="77777777" w:rsidR="00C165F8" w:rsidRPr="00225E67" w:rsidRDefault="00C165F8" w:rsidP="00C165F8">
      <w:pPr>
        <w:jc w:val="both"/>
        <w:rPr>
          <w:rFonts w:ascii="Tahoma" w:hAnsi="Tahoma" w:cs="Tahoma"/>
          <w:noProof/>
          <w:sz w:val="23"/>
          <w:szCs w:val="23"/>
          <w:lang w:val="sr-Latn-BA"/>
        </w:rPr>
      </w:pPr>
      <w:r w:rsidRPr="00225E67">
        <w:rPr>
          <w:rFonts w:ascii="Tahoma" w:hAnsi="Tahoma" w:cs="Tahoma"/>
          <w:noProof/>
          <w:sz w:val="23"/>
          <w:szCs w:val="23"/>
          <w:lang w:val="sr-Latn-BA"/>
        </w:rPr>
        <w:t>U skladu sa internom klasifikacijom nivoa rizika, nivo valutnog rizika je nizak.</w:t>
      </w:r>
    </w:p>
    <w:p w14:paraId="2579B62D" w14:textId="77777777" w:rsidR="00C165F8" w:rsidRPr="00225E67" w:rsidRDefault="00C165F8" w:rsidP="00C165F8">
      <w:pPr>
        <w:ind w:firstLine="708"/>
        <w:jc w:val="both"/>
        <w:rPr>
          <w:rFonts w:ascii="Tahoma" w:hAnsi="Tahoma" w:cs="Tahoma"/>
          <w:noProof/>
          <w:sz w:val="23"/>
          <w:szCs w:val="23"/>
          <w:lang w:val="sr-Latn-BA"/>
        </w:rPr>
      </w:pPr>
    </w:p>
    <w:tbl>
      <w:tblPr>
        <w:tblW w:w="7078" w:type="dxa"/>
        <w:tblInd w:w="118" w:type="dxa"/>
        <w:tblLook w:val="04A0" w:firstRow="1" w:lastRow="0" w:firstColumn="1" w:lastColumn="0" w:noHBand="0" w:noVBand="1"/>
      </w:tblPr>
      <w:tblGrid>
        <w:gridCol w:w="2580"/>
        <w:gridCol w:w="2372"/>
        <w:gridCol w:w="2126"/>
      </w:tblGrid>
      <w:tr w:rsidR="00C165F8" w:rsidRPr="00225E67" w14:paraId="0EA3B223" w14:textId="77777777" w:rsidTr="008558ED">
        <w:trPr>
          <w:trHeight w:val="315"/>
        </w:trPr>
        <w:tc>
          <w:tcPr>
            <w:tcW w:w="25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4E9585" w14:textId="77777777" w:rsidR="00C165F8" w:rsidRPr="00225E67" w:rsidRDefault="00C165F8" w:rsidP="008558ED">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 xml:space="preserve">Imovina </w:t>
            </w:r>
          </w:p>
        </w:tc>
        <w:tc>
          <w:tcPr>
            <w:tcW w:w="2372" w:type="dxa"/>
            <w:tcBorders>
              <w:top w:val="single" w:sz="8" w:space="0" w:color="auto"/>
              <w:left w:val="nil"/>
              <w:bottom w:val="single" w:sz="8" w:space="0" w:color="auto"/>
              <w:right w:val="single" w:sz="8" w:space="0" w:color="auto"/>
            </w:tcBorders>
            <w:shd w:val="clear" w:color="auto" w:fill="auto"/>
            <w:noWrap/>
            <w:vAlign w:val="center"/>
            <w:hideMark/>
          </w:tcPr>
          <w:p w14:paraId="66CAD97E" w14:textId="77777777" w:rsidR="00C165F8" w:rsidRPr="00225E67" w:rsidRDefault="00C165F8" w:rsidP="008558ED">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Iznos ( u KM )</w:t>
            </w:r>
          </w:p>
        </w:tc>
        <w:tc>
          <w:tcPr>
            <w:tcW w:w="2126" w:type="dxa"/>
            <w:tcBorders>
              <w:top w:val="single" w:sz="8" w:space="0" w:color="auto"/>
              <w:left w:val="nil"/>
              <w:bottom w:val="single" w:sz="8" w:space="0" w:color="auto"/>
              <w:right w:val="single" w:sz="8" w:space="0" w:color="auto"/>
            </w:tcBorders>
            <w:shd w:val="clear" w:color="auto" w:fill="auto"/>
            <w:noWrap/>
            <w:vAlign w:val="center"/>
            <w:hideMark/>
          </w:tcPr>
          <w:p w14:paraId="0F06B03C" w14:textId="77777777" w:rsidR="00C165F8" w:rsidRPr="00225E67" w:rsidRDefault="00C165F8" w:rsidP="008558ED">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 xml:space="preserve">% </w:t>
            </w:r>
          </w:p>
        </w:tc>
      </w:tr>
      <w:tr w:rsidR="00C165F8" w:rsidRPr="00225E67" w14:paraId="18EB6CDF" w14:textId="77777777" w:rsidTr="008558ED">
        <w:trPr>
          <w:trHeight w:val="315"/>
        </w:trPr>
        <w:tc>
          <w:tcPr>
            <w:tcW w:w="2580" w:type="dxa"/>
            <w:tcBorders>
              <w:top w:val="nil"/>
              <w:left w:val="single" w:sz="8" w:space="0" w:color="auto"/>
              <w:bottom w:val="single" w:sz="8" w:space="0" w:color="auto"/>
              <w:right w:val="single" w:sz="8" w:space="0" w:color="auto"/>
            </w:tcBorders>
            <w:shd w:val="clear" w:color="auto" w:fill="auto"/>
            <w:noWrap/>
            <w:vAlign w:val="center"/>
            <w:hideMark/>
          </w:tcPr>
          <w:p w14:paraId="38F58F01" w14:textId="77777777" w:rsidR="00C165F8" w:rsidRPr="00225E67" w:rsidRDefault="00C165F8" w:rsidP="008558ED">
            <w:pPr>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u KM</w:t>
            </w:r>
          </w:p>
        </w:tc>
        <w:tc>
          <w:tcPr>
            <w:tcW w:w="2372" w:type="dxa"/>
            <w:tcBorders>
              <w:top w:val="nil"/>
              <w:left w:val="nil"/>
              <w:bottom w:val="single" w:sz="8" w:space="0" w:color="auto"/>
              <w:right w:val="single" w:sz="8" w:space="0" w:color="auto"/>
            </w:tcBorders>
            <w:shd w:val="clear" w:color="auto" w:fill="auto"/>
            <w:noWrap/>
            <w:vAlign w:val="center"/>
            <w:hideMark/>
          </w:tcPr>
          <w:p w14:paraId="3F7BEC3C" w14:textId="77777777" w:rsidR="00C165F8" w:rsidRPr="00225E67" w:rsidRDefault="00C165F8" w:rsidP="008558ED">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6.453.761</w:t>
            </w:r>
          </w:p>
        </w:tc>
        <w:tc>
          <w:tcPr>
            <w:tcW w:w="2126" w:type="dxa"/>
            <w:tcBorders>
              <w:top w:val="nil"/>
              <w:left w:val="nil"/>
              <w:bottom w:val="single" w:sz="8" w:space="0" w:color="auto"/>
              <w:right w:val="single" w:sz="8" w:space="0" w:color="auto"/>
            </w:tcBorders>
            <w:shd w:val="clear" w:color="auto" w:fill="auto"/>
            <w:noWrap/>
            <w:vAlign w:val="center"/>
            <w:hideMark/>
          </w:tcPr>
          <w:p w14:paraId="10228F98" w14:textId="77777777" w:rsidR="00C165F8" w:rsidRPr="00225E67" w:rsidRDefault="00C165F8" w:rsidP="008558ED">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97,62%</w:t>
            </w:r>
          </w:p>
        </w:tc>
      </w:tr>
      <w:tr w:rsidR="00C165F8" w:rsidRPr="00225E67" w14:paraId="280239F6" w14:textId="77777777" w:rsidTr="008558ED">
        <w:trPr>
          <w:trHeight w:val="315"/>
        </w:trPr>
        <w:tc>
          <w:tcPr>
            <w:tcW w:w="2580" w:type="dxa"/>
            <w:tcBorders>
              <w:top w:val="nil"/>
              <w:left w:val="single" w:sz="8" w:space="0" w:color="auto"/>
              <w:bottom w:val="single" w:sz="8" w:space="0" w:color="auto"/>
              <w:right w:val="single" w:sz="8" w:space="0" w:color="auto"/>
            </w:tcBorders>
            <w:shd w:val="clear" w:color="auto" w:fill="auto"/>
            <w:noWrap/>
            <w:vAlign w:val="center"/>
            <w:hideMark/>
          </w:tcPr>
          <w:p w14:paraId="1ABC78C3" w14:textId="77777777" w:rsidR="00C165F8" w:rsidRPr="00225E67" w:rsidRDefault="00C165F8" w:rsidP="008558ED">
            <w:pPr>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Ostale valute</w:t>
            </w:r>
          </w:p>
        </w:tc>
        <w:tc>
          <w:tcPr>
            <w:tcW w:w="2372" w:type="dxa"/>
            <w:tcBorders>
              <w:top w:val="nil"/>
              <w:left w:val="nil"/>
              <w:bottom w:val="single" w:sz="8" w:space="0" w:color="auto"/>
              <w:right w:val="single" w:sz="8" w:space="0" w:color="auto"/>
            </w:tcBorders>
            <w:shd w:val="clear" w:color="auto" w:fill="auto"/>
            <w:noWrap/>
            <w:vAlign w:val="center"/>
            <w:hideMark/>
          </w:tcPr>
          <w:p w14:paraId="4B718AD5" w14:textId="77777777" w:rsidR="00C165F8" w:rsidRPr="00225E67" w:rsidRDefault="00C165F8" w:rsidP="008558ED">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157.407</w:t>
            </w:r>
          </w:p>
        </w:tc>
        <w:tc>
          <w:tcPr>
            <w:tcW w:w="2126" w:type="dxa"/>
            <w:tcBorders>
              <w:top w:val="nil"/>
              <w:left w:val="nil"/>
              <w:bottom w:val="single" w:sz="8" w:space="0" w:color="auto"/>
              <w:right w:val="single" w:sz="8" w:space="0" w:color="auto"/>
            </w:tcBorders>
            <w:shd w:val="clear" w:color="auto" w:fill="auto"/>
            <w:noWrap/>
            <w:vAlign w:val="center"/>
            <w:hideMark/>
          </w:tcPr>
          <w:p w14:paraId="5DE7FDD8" w14:textId="77777777" w:rsidR="00C165F8" w:rsidRPr="00225E67" w:rsidRDefault="00C165F8" w:rsidP="008558ED">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2,38%</w:t>
            </w:r>
          </w:p>
        </w:tc>
      </w:tr>
      <w:tr w:rsidR="00C165F8" w:rsidRPr="00225E67" w14:paraId="6392D168" w14:textId="77777777" w:rsidTr="008558ED">
        <w:trPr>
          <w:trHeight w:val="315"/>
        </w:trPr>
        <w:tc>
          <w:tcPr>
            <w:tcW w:w="2580" w:type="dxa"/>
            <w:tcBorders>
              <w:top w:val="nil"/>
              <w:left w:val="single" w:sz="8" w:space="0" w:color="auto"/>
              <w:bottom w:val="single" w:sz="8" w:space="0" w:color="auto"/>
              <w:right w:val="single" w:sz="8" w:space="0" w:color="auto"/>
            </w:tcBorders>
            <w:shd w:val="clear" w:color="auto" w:fill="auto"/>
            <w:noWrap/>
            <w:vAlign w:val="center"/>
            <w:hideMark/>
          </w:tcPr>
          <w:p w14:paraId="78765AD2" w14:textId="77777777" w:rsidR="00C165F8" w:rsidRPr="00225E67" w:rsidRDefault="00C165F8" w:rsidP="008558ED">
            <w:pP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Ukupna imovina fonda</w:t>
            </w:r>
          </w:p>
        </w:tc>
        <w:tc>
          <w:tcPr>
            <w:tcW w:w="2372" w:type="dxa"/>
            <w:tcBorders>
              <w:top w:val="nil"/>
              <w:left w:val="nil"/>
              <w:bottom w:val="single" w:sz="8" w:space="0" w:color="auto"/>
              <w:right w:val="single" w:sz="8" w:space="0" w:color="auto"/>
            </w:tcBorders>
            <w:shd w:val="clear" w:color="auto" w:fill="auto"/>
            <w:noWrap/>
            <w:vAlign w:val="center"/>
            <w:hideMark/>
          </w:tcPr>
          <w:p w14:paraId="6F871CED" w14:textId="77777777" w:rsidR="00C165F8" w:rsidRPr="00225E67" w:rsidRDefault="00C165F8" w:rsidP="008558ED">
            <w:pPr>
              <w:jc w:val="right"/>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6.611.168</w:t>
            </w:r>
          </w:p>
        </w:tc>
        <w:tc>
          <w:tcPr>
            <w:tcW w:w="2126" w:type="dxa"/>
            <w:tcBorders>
              <w:top w:val="nil"/>
              <w:left w:val="nil"/>
              <w:bottom w:val="single" w:sz="8" w:space="0" w:color="auto"/>
              <w:right w:val="single" w:sz="8" w:space="0" w:color="auto"/>
            </w:tcBorders>
            <w:shd w:val="clear" w:color="auto" w:fill="auto"/>
            <w:noWrap/>
            <w:vAlign w:val="center"/>
            <w:hideMark/>
          </w:tcPr>
          <w:p w14:paraId="2D6DAD01" w14:textId="77777777" w:rsidR="00C165F8" w:rsidRPr="00225E67" w:rsidRDefault="00C165F8" w:rsidP="008558ED">
            <w:pPr>
              <w:jc w:val="right"/>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100,00%</w:t>
            </w:r>
          </w:p>
        </w:tc>
      </w:tr>
    </w:tbl>
    <w:p w14:paraId="12787F04" w14:textId="77777777" w:rsidR="00C165F8" w:rsidRPr="00225E67" w:rsidRDefault="00C165F8" w:rsidP="00C165F8">
      <w:pPr>
        <w:ind w:firstLine="708"/>
        <w:jc w:val="both"/>
        <w:rPr>
          <w:rFonts w:ascii="Tahoma" w:hAnsi="Tahoma" w:cs="Tahoma"/>
          <w:noProof/>
          <w:sz w:val="23"/>
          <w:szCs w:val="23"/>
          <w:lang w:val="sr-Latn-BA"/>
        </w:rPr>
      </w:pPr>
    </w:p>
    <w:p w14:paraId="33AD7613" w14:textId="77777777" w:rsidR="00C165F8" w:rsidRPr="00225E67" w:rsidRDefault="00C165F8" w:rsidP="00C165F8">
      <w:pPr>
        <w:spacing w:after="120"/>
        <w:jc w:val="both"/>
        <w:rPr>
          <w:rFonts w:ascii="Tahoma" w:hAnsi="Tahoma" w:cs="Tahoma"/>
          <w:b/>
          <w:bCs/>
          <w:noProof/>
          <w:sz w:val="23"/>
          <w:szCs w:val="23"/>
          <w:lang w:val="sr-Latn-BA"/>
        </w:rPr>
      </w:pPr>
      <w:r w:rsidRPr="00225E67">
        <w:rPr>
          <w:rFonts w:ascii="Tahoma" w:hAnsi="Tahoma" w:cs="Tahoma"/>
          <w:b/>
          <w:bCs/>
          <w:noProof/>
          <w:sz w:val="23"/>
          <w:szCs w:val="23"/>
          <w:lang w:val="sr-Latn-BA"/>
        </w:rPr>
        <w:t>Kreditni rizik</w:t>
      </w:r>
    </w:p>
    <w:p w14:paraId="20978488" w14:textId="77777777" w:rsidR="00C165F8" w:rsidRPr="00225E67" w:rsidRDefault="00C165F8" w:rsidP="00C165F8">
      <w:pPr>
        <w:jc w:val="both"/>
        <w:rPr>
          <w:rFonts w:ascii="Tahoma" w:hAnsi="Tahoma" w:cs="Tahoma"/>
          <w:noProof/>
          <w:sz w:val="23"/>
          <w:szCs w:val="23"/>
          <w:lang w:val="sr-Latn-BA"/>
        </w:rPr>
      </w:pPr>
      <w:r w:rsidRPr="00225E67">
        <w:rPr>
          <w:rFonts w:ascii="Tahoma" w:hAnsi="Tahoma" w:cs="Tahoma"/>
          <w:noProof/>
          <w:sz w:val="23"/>
          <w:szCs w:val="23"/>
          <w:lang w:val="sr-Latn-BA"/>
        </w:rPr>
        <w:t>Kreditni rizik se odnosi na dužničke hartije od vrijednosti iz portfelja fonda, pri čemu se analizira i prati rizik emitenta te hartije na mogućnost izmirenja svojih obaveza po izdatoj hartiji. Prati se stanje u emitentima koji su izdali dužničke hartije i njihova sposobnost da izmire obaveze po hartijama. Kreditni rizik se klasifikuje u tri grupe:</w:t>
      </w:r>
    </w:p>
    <w:p w14:paraId="6FC40FC6" w14:textId="77777777" w:rsidR="00C165F8" w:rsidRPr="00225E67" w:rsidRDefault="00C165F8" w:rsidP="00C165F8">
      <w:pPr>
        <w:jc w:val="both"/>
        <w:rPr>
          <w:rFonts w:ascii="Tahoma" w:hAnsi="Tahoma" w:cs="Tahoma"/>
          <w:noProof/>
          <w:sz w:val="23"/>
          <w:szCs w:val="23"/>
          <w:lang w:val="sr-Latn-BA"/>
        </w:rPr>
      </w:pPr>
      <w:r w:rsidRPr="00225E67">
        <w:rPr>
          <w:rFonts w:ascii="Tahoma" w:hAnsi="Tahoma" w:cs="Tahoma"/>
          <w:noProof/>
          <w:sz w:val="23"/>
          <w:szCs w:val="23"/>
          <w:lang w:val="sr-Latn-BA"/>
        </w:rPr>
        <w:lastRenderedPageBreak/>
        <w:t>•</w:t>
      </w:r>
      <w:r w:rsidRPr="00225E67">
        <w:rPr>
          <w:rFonts w:ascii="Tahoma" w:hAnsi="Tahoma" w:cs="Tahoma"/>
          <w:noProof/>
          <w:sz w:val="23"/>
          <w:szCs w:val="23"/>
          <w:lang w:val="sr-Latn-BA"/>
        </w:rPr>
        <w:tab/>
        <w:t xml:space="preserve">Visok nivo rizika -ukoliko  više od 30% potraživanja fonda nije naplaćeno u unaprijed utvrđenom    roku </w:t>
      </w:r>
    </w:p>
    <w:p w14:paraId="4F9E0BE0" w14:textId="77777777" w:rsidR="00C165F8" w:rsidRPr="00225E67" w:rsidRDefault="00C165F8" w:rsidP="00C165F8">
      <w:pPr>
        <w:jc w:val="both"/>
        <w:rPr>
          <w:rFonts w:ascii="Tahoma" w:hAnsi="Tahoma" w:cs="Tahoma"/>
          <w:noProof/>
          <w:sz w:val="23"/>
          <w:szCs w:val="23"/>
          <w:lang w:val="sr-Latn-BA"/>
        </w:rPr>
      </w:pPr>
      <w:r w:rsidRPr="00225E67">
        <w:rPr>
          <w:rFonts w:ascii="Tahoma" w:hAnsi="Tahoma" w:cs="Tahoma"/>
          <w:noProof/>
          <w:sz w:val="23"/>
          <w:szCs w:val="23"/>
          <w:lang w:val="sr-Latn-BA"/>
        </w:rPr>
        <w:t>•</w:t>
      </w:r>
      <w:r w:rsidRPr="00225E67">
        <w:rPr>
          <w:rFonts w:ascii="Tahoma" w:hAnsi="Tahoma" w:cs="Tahoma"/>
          <w:noProof/>
          <w:sz w:val="23"/>
          <w:szCs w:val="23"/>
          <w:lang w:val="sr-Latn-BA"/>
        </w:rPr>
        <w:tab/>
        <w:t xml:space="preserve">Umjeren nivo rizika -ukoliko  5- 30% potraživanja fonda nije naplaćeno u unaprijed utvrđenom roku </w:t>
      </w:r>
    </w:p>
    <w:p w14:paraId="7D3A6E68" w14:textId="77777777" w:rsidR="00C165F8" w:rsidRPr="00225E67" w:rsidRDefault="00C165F8" w:rsidP="00C165F8">
      <w:pPr>
        <w:jc w:val="both"/>
        <w:rPr>
          <w:rFonts w:ascii="Tahoma" w:hAnsi="Tahoma" w:cs="Tahoma"/>
          <w:noProof/>
          <w:sz w:val="23"/>
          <w:szCs w:val="23"/>
          <w:lang w:val="sr-Latn-BA"/>
        </w:rPr>
      </w:pPr>
      <w:r w:rsidRPr="00225E67">
        <w:rPr>
          <w:rFonts w:ascii="Tahoma" w:hAnsi="Tahoma" w:cs="Tahoma"/>
          <w:noProof/>
          <w:sz w:val="23"/>
          <w:szCs w:val="23"/>
          <w:lang w:val="sr-Latn-BA"/>
        </w:rPr>
        <w:t>•</w:t>
      </w:r>
      <w:r w:rsidRPr="00225E67">
        <w:rPr>
          <w:rFonts w:ascii="Tahoma" w:hAnsi="Tahoma" w:cs="Tahoma"/>
          <w:noProof/>
          <w:sz w:val="23"/>
          <w:szCs w:val="23"/>
          <w:lang w:val="sr-Latn-BA"/>
        </w:rPr>
        <w:tab/>
        <w:t xml:space="preserve">Nizak nivo rizika -ukoliko  manje od 5 % potraživanja fonda nije naplaćeno u unaprijed utvrđenom roku </w:t>
      </w:r>
    </w:p>
    <w:p w14:paraId="45AA8A69" w14:textId="77777777" w:rsidR="00C165F8" w:rsidRPr="00225E67" w:rsidRDefault="00C165F8" w:rsidP="00C165F8">
      <w:pPr>
        <w:jc w:val="both"/>
        <w:rPr>
          <w:rFonts w:ascii="Tahoma" w:hAnsi="Tahoma" w:cs="Tahoma"/>
          <w:noProof/>
          <w:sz w:val="23"/>
          <w:szCs w:val="23"/>
          <w:lang w:val="sr-Latn-BA"/>
        </w:rPr>
      </w:pPr>
    </w:p>
    <w:p w14:paraId="3A8CB716" w14:textId="77777777" w:rsidR="00C165F8" w:rsidRPr="00225E67" w:rsidRDefault="00C165F8" w:rsidP="00C165F8">
      <w:pPr>
        <w:jc w:val="both"/>
        <w:rPr>
          <w:rFonts w:ascii="Tahoma" w:hAnsi="Tahoma" w:cs="Tahoma"/>
          <w:noProof/>
          <w:sz w:val="23"/>
          <w:szCs w:val="23"/>
          <w:lang w:val="sr-Latn-BA"/>
        </w:rPr>
      </w:pPr>
      <w:r w:rsidRPr="00225E67">
        <w:rPr>
          <w:rFonts w:ascii="Tahoma" w:hAnsi="Tahoma" w:cs="Tahoma"/>
          <w:noProof/>
          <w:sz w:val="23"/>
          <w:szCs w:val="23"/>
          <w:lang w:val="sr-Latn-BA"/>
        </w:rPr>
        <w:t>Fond u svom portfelju nema dužničkih hartija od vrijednosti te je u  skladu sa internom klasifikacijom nivoa rizika, nivo kreditnog rizika nizak..</w:t>
      </w:r>
    </w:p>
    <w:p w14:paraId="435891C5" w14:textId="77777777" w:rsidR="00C165F8" w:rsidRPr="00225E67" w:rsidRDefault="00C165F8" w:rsidP="00C165F8">
      <w:pPr>
        <w:jc w:val="both"/>
        <w:rPr>
          <w:rFonts w:ascii="Tahoma" w:hAnsi="Tahoma" w:cs="Tahoma"/>
          <w:b/>
          <w:bCs/>
          <w:noProof/>
          <w:sz w:val="23"/>
          <w:szCs w:val="23"/>
          <w:lang w:val="sr-Latn-BA"/>
        </w:rPr>
      </w:pPr>
    </w:p>
    <w:p w14:paraId="37DD170C" w14:textId="77777777" w:rsidR="00C165F8" w:rsidRPr="00225E67" w:rsidRDefault="00C165F8" w:rsidP="00C165F8">
      <w:pPr>
        <w:jc w:val="both"/>
        <w:rPr>
          <w:rFonts w:ascii="Tahoma" w:hAnsi="Tahoma" w:cs="Tahoma"/>
          <w:b/>
          <w:bCs/>
          <w:noProof/>
          <w:sz w:val="23"/>
          <w:szCs w:val="23"/>
          <w:lang w:val="sr-Latn-BA"/>
        </w:rPr>
      </w:pPr>
      <w:r w:rsidRPr="00225E67">
        <w:rPr>
          <w:rFonts w:ascii="Tahoma" w:hAnsi="Tahoma" w:cs="Tahoma"/>
          <w:b/>
          <w:bCs/>
          <w:noProof/>
          <w:sz w:val="23"/>
          <w:szCs w:val="23"/>
          <w:lang w:val="sr-Latn-BA"/>
        </w:rPr>
        <w:t xml:space="preserve">Rizik likvidnosti </w:t>
      </w:r>
    </w:p>
    <w:p w14:paraId="37C9F117" w14:textId="77777777" w:rsidR="00C165F8" w:rsidRPr="00225E67" w:rsidRDefault="00C165F8" w:rsidP="00C165F8">
      <w:pPr>
        <w:jc w:val="both"/>
        <w:rPr>
          <w:rFonts w:ascii="Tahoma" w:hAnsi="Tahoma" w:cs="Tahoma"/>
          <w:noProof/>
          <w:sz w:val="23"/>
          <w:szCs w:val="23"/>
          <w:lang w:val="sr-Latn-BA"/>
        </w:rPr>
      </w:pPr>
    </w:p>
    <w:p w14:paraId="5932CF01" w14:textId="77777777" w:rsidR="00C165F8" w:rsidRPr="00225E67" w:rsidRDefault="00C165F8" w:rsidP="00C165F8">
      <w:pPr>
        <w:jc w:val="both"/>
        <w:rPr>
          <w:rFonts w:ascii="Tahoma" w:hAnsi="Tahoma" w:cs="Tahoma"/>
          <w:noProof/>
          <w:sz w:val="23"/>
          <w:szCs w:val="23"/>
          <w:lang w:val="sr-Latn-BA"/>
        </w:rPr>
      </w:pPr>
      <w:r w:rsidRPr="00225E67">
        <w:rPr>
          <w:rFonts w:ascii="Tahoma" w:hAnsi="Tahoma" w:cs="Tahoma"/>
          <w:noProof/>
          <w:sz w:val="23"/>
          <w:szCs w:val="23"/>
          <w:lang w:val="sr-Latn-BA"/>
        </w:rPr>
        <w:t>Zaključno sa 31.12.2024. godine dominantan je visok nivo rizika u odnosu na ostale nivoe rizika, tako da je rizik likvidnosti visok.</w:t>
      </w:r>
    </w:p>
    <w:p w14:paraId="0D3C366D" w14:textId="77777777" w:rsidR="00C165F8" w:rsidRPr="00225E67" w:rsidRDefault="00C165F8" w:rsidP="00C165F8">
      <w:pPr>
        <w:jc w:val="both"/>
        <w:rPr>
          <w:rFonts w:ascii="Tahoma" w:hAnsi="Tahoma" w:cs="Tahoma"/>
          <w:noProof/>
          <w:sz w:val="23"/>
          <w:szCs w:val="23"/>
          <w:lang w:val="sr-Latn-BA"/>
        </w:rPr>
      </w:pPr>
      <w:r w:rsidRPr="00225E67">
        <w:rPr>
          <w:rFonts w:ascii="Tahoma" w:hAnsi="Tahoma" w:cs="Tahoma"/>
          <w:noProof/>
          <w:sz w:val="23"/>
          <w:szCs w:val="23"/>
          <w:lang w:val="sr-Latn-BA"/>
        </w:rPr>
        <w:t>Trend kretanja rizika likvidnosti zaključno sa 31.12.2024. godine u odnosu na  30.09.2024. godine je blago negativan iz razloga što je došlo do povećanja procenta visokog nivoa rizika likvidnosti sa  55,49 % na  56,26 %.</w:t>
      </w:r>
    </w:p>
    <w:p w14:paraId="5A00BE00" w14:textId="77777777" w:rsidR="00C165F8" w:rsidRDefault="00C165F8" w:rsidP="00C165F8">
      <w:pPr>
        <w:jc w:val="both"/>
        <w:rPr>
          <w:rFonts w:ascii="Tahoma" w:hAnsi="Tahoma" w:cs="Tahoma"/>
          <w:noProof/>
          <w:sz w:val="23"/>
          <w:szCs w:val="23"/>
          <w:lang w:val="sr-Latn-BA"/>
        </w:rPr>
      </w:pPr>
      <w:r w:rsidRPr="00225E67">
        <w:rPr>
          <w:rFonts w:ascii="Tahoma" w:hAnsi="Tahoma" w:cs="Tahoma"/>
          <w:noProof/>
          <w:sz w:val="23"/>
          <w:szCs w:val="23"/>
          <w:lang w:val="sr-Latn-BA"/>
        </w:rPr>
        <w:t>Preporuka: U cilju smanjivanja rizika likvidnosti smatram da bi trebalo intenzivnije preduzeti aktivnosti vezane za prodaju hartija od vrijednosti iz portfelja fonda naročite iz skupine HOV koje imaju visok nivo rizika likvidnosti uz pridržavanje investicionih ciljeva koji su navedeni u Prospektu fonda</w:t>
      </w:r>
      <w:r>
        <w:rPr>
          <w:rFonts w:ascii="Tahoma" w:hAnsi="Tahoma" w:cs="Tahoma"/>
          <w:noProof/>
          <w:sz w:val="23"/>
          <w:szCs w:val="23"/>
          <w:lang w:val="sr-Latn-BA"/>
        </w:rPr>
        <w:t>.</w:t>
      </w:r>
    </w:p>
    <w:p w14:paraId="6985EE00" w14:textId="77777777" w:rsidR="00C165F8" w:rsidRPr="00225E67" w:rsidRDefault="00C165F8" w:rsidP="00C165F8">
      <w:pPr>
        <w:jc w:val="both"/>
        <w:rPr>
          <w:rFonts w:ascii="Tahoma" w:hAnsi="Tahoma" w:cs="Tahoma"/>
          <w:noProof/>
          <w:sz w:val="23"/>
          <w:szCs w:val="23"/>
          <w:lang w:val="sr-Latn-BA"/>
        </w:rPr>
      </w:pPr>
    </w:p>
    <w:p w14:paraId="52085455" w14:textId="77777777" w:rsidR="00C165F8" w:rsidRPr="00225E67" w:rsidRDefault="00C165F8" w:rsidP="00C165F8">
      <w:pPr>
        <w:jc w:val="both"/>
        <w:rPr>
          <w:rFonts w:ascii="Tahoma" w:hAnsi="Tahoma" w:cs="Tahoma"/>
          <w:noProof/>
          <w:sz w:val="23"/>
          <w:szCs w:val="23"/>
          <w:lang w:val="sr-Latn-BA"/>
        </w:rPr>
      </w:pPr>
    </w:p>
    <w:tbl>
      <w:tblPr>
        <w:tblW w:w="8921" w:type="dxa"/>
        <w:tblInd w:w="118" w:type="dxa"/>
        <w:tblLook w:val="04A0" w:firstRow="1" w:lastRow="0" w:firstColumn="1" w:lastColumn="0" w:noHBand="0" w:noVBand="1"/>
      </w:tblPr>
      <w:tblGrid>
        <w:gridCol w:w="1833"/>
        <w:gridCol w:w="1701"/>
        <w:gridCol w:w="1701"/>
        <w:gridCol w:w="1701"/>
        <w:gridCol w:w="1985"/>
      </w:tblGrid>
      <w:tr w:rsidR="00C165F8" w:rsidRPr="00225E67" w14:paraId="0D4F785E" w14:textId="77777777" w:rsidTr="008558ED">
        <w:trPr>
          <w:trHeight w:val="230"/>
        </w:trPr>
        <w:tc>
          <w:tcPr>
            <w:tcW w:w="183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4983505" w14:textId="77777777" w:rsidR="00C165F8" w:rsidRPr="00225E67" w:rsidRDefault="00C165F8" w:rsidP="008558ED">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 </w:t>
            </w:r>
          </w:p>
        </w:tc>
        <w:tc>
          <w:tcPr>
            <w:tcW w:w="3402"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E36C91E" w14:textId="77777777" w:rsidR="00C165F8" w:rsidRPr="00225E67" w:rsidRDefault="00C165F8" w:rsidP="008558ED">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31.12.2024</w:t>
            </w:r>
          </w:p>
        </w:tc>
        <w:tc>
          <w:tcPr>
            <w:tcW w:w="3686"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6CE8EF8" w14:textId="77777777" w:rsidR="00C165F8" w:rsidRPr="00225E67" w:rsidRDefault="00C165F8" w:rsidP="008558ED">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30.9.2024</w:t>
            </w:r>
          </w:p>
        </w:tc>
      </w:tr>
      <w:tr w:rsidR="00C165F8" w:rsidRPr="00225E67" w14:paraId="2E85FB64" w14:textId="77777777" w:rsidTr="008558ED">
        <w:trPr>
          <w:trHeight w:val="330"/>
        </w:trPr>
        <w:tc>
          <w:tcPr>
            <w:tcW w:w="1833" w:type="dxa"/>
            <w:tcBorders>
              <w:top w:val="nil"/>
              <w:left w:val="single" w:sz="8" w:space="0" w:color="auto"/>
              <w:bottom w:val="single" w:sz="8" w:space="0" w:color="auto"/>
              <w:right w:val="single" w:sz="8" w:space="0" w:color="auto"/>
            </w:tcBorders>
            <w:shd w:val="clear" w:color="auto" w:fill="auto"/>
            <w:noWrap/>
            <w:vAlign w:val="center"/>
            <w:hideMark/>
          </w:tcPr>
          <w:p w14:paraId="3CC9716F" w14:textId="77777777" w:rsidR="00C165F8" w:rsidRPr="00225E67" w:rsidRDefault="00C165F8" w:rsidP="008558ED">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Nivo rizika</w:t>
            </w:r>
          </w:p>
        </w:tc>
        <w:tc>
          <w:tcPr>
            <w:tcW w:w="1701" w:type="dxa"/>
            <w:tcBorders>
              <w:top w:val="nil"/>
              <w:left w:val="nil"/>
              <w:bottom w:val="single" w:sz="8" w:space="0" w:color="auto"/>
              <w:right w:val="single" w:sz="4" w:space="0" w:color="auto"/>
            </w:tcBorders>
            <w:shd w:val="clear" w:color="auto" w:fill="auto"/>
            <w:noWrap/>
            <w:vAlign w:val="center"/>
            <w:hideMark/>
          </w:tcPr>
          <w:p w14:paraId="17118D83" w14:textId="77777777" w:rsidR="00C165F8" w:rsidRPr="00225E67" w:rsidRDefault="00C165F8" w:rsidP="008558ED">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Iznos</w:t>
            </w:r>
          </w:p>
        </w:tc>
        <w:tc>
          <w:tcPr>
            <w:tcW w:w="1701" w:type="dxa"/>
            <w:tcBorders>
              <w:top w:val="nil"/>
              <w:left w:val="nil"/>
              <w:bottom w:val="single" w:sz="8" w:space="0" w:color="auto"/>
              <w:right w:val="single" w:sz="8" w:space="0" w:color="auto"/>
            </w:tcBorders>
            <w:shd w:val="clear" w:color="auto" w:fill="auto"/>
            <w:noWrap/>
            <w:vAlign w:val="center"/>
            <w:hideMark/>
          </w:tcPr>
          <w:p w14:paraId="176E9A6E" w14:textId="77777777" w:rsidR="00C165F8" w:rsidRPr="00225E67" w:rsidRDefault="00C165F8" w:rsidP="008558ED">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w:t>
            </w:r>
          </w:p>
        </w:tc>
        <w:tc>
          <w:tcPr>
            <w:tcW w:w="1701" w:type="dxa"/>
            <w:tcBorders>
              <w:top w:val="nil"/>
              <w:left w:val="nil"/>
              <w:bottom w:val="single" w:sz="8" w:space="0" w:color="auto"/>
              <w:right w:val="single" w:sz="4" w:space="0" w:color="auto"/>
            </w:tcBorders>
            <w:shd w:val="clear" w:color="auto" w:fill="auto"/>
            <w:noWrap/>
            <w:vAlign w:val="center"/>
            <w:hideMark/>
          </w:tcPr>
          <w:p w14:paraId="09273E83" w14:textId="77777777" w:rsidR="00C165F8" w:rsidRPr="00225E67" w:rsidRDefault="00C165F8" w:rsidP="008558ED">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Iznos</w:t>
            </w:r>
          </w:p>
        </w:tc>
        <w:tc>
          <w:tcPr>
            <w:tcW w:w="1985" w:type="dxa"/>
            <w:tcBorders>
              <w:top w:val="nil"/>
              <w:left w:val="nil"/>
              <w:bottom w:val="single" w:sz="8" w:space="0" w:color="auto"/>
              <w:right w:val="single" w:sz="8" w:space="0" w:color="auto"/>
            </w:tcBorders>
            <w:shd w:val="clear" w:color="auto" w:fill="auto"/>
            <w:noWrap/>
            <w:vAlign w:val="center"/>
            <w:hideMark/>
          </w:tcPr>
          <w:p w14:paraId="4195E52E" w14:textId="77777777" w:rsidR="00C165F8" w:rsidRPr="00225E67" w:rsidRDefault="00C165F8" w:rsidP="008558ED">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w:t>
            </w:r>
          </w:p>
        </w:tc>
      </w:tr>
      <w:tr w:rsidR="00C165F8" w:rsidRPr="00225E67" w14:paraId="509C754A" w14:textId="77777777" w:rsidTr="008558ED">
        <w:trPr>
          <w:trHeight w:val="315"/>
        </w:trPr>
        <w:tc>
          <w:tcPr>
            <w:tcW w:w="1833" w:type="dxa"/>
            <w:tcBorders>
              <w:top w:val="nil"/>
              <w:left w:val="single" w:sz="8" w:space="0" w:color="auto"/>
              <w:bottom w:val="single" w:sz="4" w:space="0" w:color="auto"/>
              <w:right w:val="single" w:sz="8" w:space="0" w:color="auto"/>
            </w:tcBorders>
            <w:shd w:val="clear" w:color="auto" w:fill="auto"/>
            <w:noWrap/>
            <w:vAlign w:val="center"/>
            <w:hideMark/>
          </w:tcPr>
          <w:p w14:paraId="6509F176" w14:textId="77777777" w:rsidR="00C165F8" w:rsidRPr="00225E67" w:rsidRDefault="00C165F8" w:rsidP="008558ED">
            <w:pPr>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nizak</w:t>
            </w:r>
          </w:p>
        </w:tc>
        <w:tc>
          <w:tcPr>
            <w:tcW w:w="1701" w:type="dxa"/>
            <w:tcBorders>
              <w:top w:val="nil"/>
              <w:left w:val="nil"/>
              <w:bottom w:val="single" w:sz="4" w:space="0" w:color="auto"/>
              <w:right w:val="single" w:sz="4" w:space="0" w:color="auto"/>
            </w:tcBorders>
            <w:shd w:val="clear" w:color="auto" w:fill="auto"/>
            <w:noWrap/>
            <w:vAlign w:val="bottom"/>
            <w:hideMark/>
          </w:tcPr>
          <w:p w14:paraId="4981164E" w14:textId="77777777" w:rsidR="00C165F8" w:rsidRPr="00225E67" w:rsidRDefault="00C165F8" w:rsidP="008558ED">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2.891.771</w:t>
            </w:r>
          </w:p>
        </w:tc>
        <w:tc>
          <w:tcPr>
            <w:tcW w:w="1701" w:type="dxa"/>
            <w:tcBorders>
              <w:top w:val="nil"/>
              <w:left w:val="nil"/>
              <w:bottom w:val="single" w:sz="4" w:space="0" w:color="auto"/>
              <w:right w:val="single" w:sz="8" w:space="0" w:color="auto"/>
            </w:tcBorders>
            <w:shd w:val="clear" w:color="auto" w:fill="auto"/>
            <w:noWrap/>
            <w:vAlign w:val="bottom"/>
            <w:hideMark/>
          </w:tcPr>
          <w:p w14:paraId="78419163" w14:textId="77777777" w:rsidR="00C165F8" w:rsidRPr="00225E67" w:rsidRDefault="00C165F8" w:rsidP="008558ED">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43,74%</w:t>
            </w:r>
          </w:p>
        </w:tc>
        <w:tc>
          <w:tcPr>
            <w:tcW w:w="1701" w:type="dxa"/>
            <w:tcBorders>
              <w:top w:val="nil"/>
              <w:left w:val="nil"/>
              <w:bottom w:val="single" w:sz="4" w:space="0" w:color="auto"/>
              <w:right w:val="single" w:sz="4" w:space="0" w:color="auto"/>
            </w:tcBorders>
            <w:shd w:val="clear" w:color="auto" w:fill="auto"/>
            <w:noWrap/>
            <w:vAlign w:val="bottom"/>
            <w:hideMark/>
          </w:tcPr>
          <w:p w14:paraId="0673881E" w14:textId="77777777" w:rsidR="00C165F8" w:rsidRPr="00225E67" w:rsidRDefault="00C165F8" w:rsidP="008558ED">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2.959.701</w:t>
            </w:r>
          </w:p>
        </w:tc>
        <w:tc>
          <w:tcPr>
            <w:tcW w:w="1985" w:type="dxa"/>
            <w:tcBorders>
              <w:top w:val="nil"/>
              <w:left w:val="nil"/>
              <w:bottom w:val="single" w:sz="4" w:space="0" w:color="auto"/>
              <w:right w:val="single" w:sz="8" w:space="0" w:color="auto"/>
            </w:tcBorders>
            <w:shd w:val="clear" w:color="auto" w:fill="auto"/>
            <w:noWrap/>
            <w:vAlign w:val="bottom"/>
            <w:hideMark/>
          </w:tcPr>
          <w:p w14:paraId="193991D6" w14:textId="77777777" w:rsidR="00C165F8" w:rsidRPr="00225E67" w:rsidRDefault="00C165F8" w:rsidP="008558ED">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44,47%</w:t>
            </w:r>
          </w:p>
        </w:tc>
      </w:tr>
      <w:tr w:rsidR="00C165F8" w:rsidRPr="00225E67" w14:paraId="5552760C" w14:textId="77777777" w:rsidTr="008558ED">
        <w:trPr>
          <w:trHeight w:val="315"/>
        </w:trPr>
        <w:tc>
          <w:tcPr>
            <w:tcW w:w="1833" w:type="dxa"/>
            <w:tcBorders>
              <w:top w:val="nil"/>
              <w:left w:val="single" w:sz="8" w:space="0" w:color="auto"/>
              <w:bottom w:val="single" w:sz="4" w:space="0" w:color="auto"/>
              <w:right w:val="single" w:sz="8" w:space="0" w:color="auto"/>
            </w:tcBorders>
            <w:shd w:val="clear" w:color="auto" w:fill="auto"/>
            <w:noWrap/>
            <w:vAlign w:val="center"/>
            <w:hideMark/>
          </w:tcPr>
          <w:p w14:paraId="1D4C7AB7" w14:textId="77777777" w:rsidR="00C165F8" w:rsidRPr="00225E67" w:rsidRDefault="00C165F8" w:rsidP="008558ED">
            <w:pPr>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umjeren</w:t>
            </w:r>
          </w:p>
        </w:tc>
        <w:tc>
          <w:tcPr>
            <w:tcW w:w="1701" w:type="dxa"/>
            <w:tcBorders>
              <w:top w:val="nil"/>
              <w:left w:val="nil"/>
              <w:bottom w:val="single" w:sz="4" w:space="0" w:color="auto"/>
              <w:right w:val="single" w:sz="4" w:space="0" w:color="auto"/>
            </w:tcBorders>
            <w:shd w:val="clear" w:color="auto" w:fill="auto"/>
            <w:noWrap/>
            <w:vAlign w:val="bottom"/>
            <w:hideMark/>
          </w:tcPr>
          <w:p w14:paraId="1A0C885D" w14:textId="77777777" w:rsidR="00C165F8" w:rsidRPr="00225E67" w:rsidRDefault="00C165F8" w:rsidP="008558ED">
            <w:pPr>
              <w:jc w:val="right"/>
              <w:rPr>
                <w:rFonts w:ascii="Tahoma" w:hAnsi="Tahoma" w:cs="Tahoma"/>
                <w:noProof/>
                <w:color w:val="000000"/>
                <w:sz w:val="23"/>
                <w:szCs w:val="23"/>
                <w:lang w:val="sr-Latn-BA" w:eastAsia="sr-Latn-BA"/>
              </w:rPr>
            </w:pPr>
            <w:r>
              <w:rPr>
                <w:rFonts w:ascii="Tahoma" w:hAnsi="Tahoma" w:cs="Tahoma"/>
                <w:noProof/>
                <w:color w:val="000000"/>
                <w:sz w:val="23"/>
                <w:szCs w:val="23"/>
                <w:lang w:val="sr-Latn-BA" w:eastAsia="sr-Latn-BA"/>
              </w:rPr>
              <w:t>-</w:t>
            </w:r>
          </w:p>
        </w:tc>
        <w:tc>
          <w:tcPr>
            <w:tcW w:w="1701" w:type="dxa"/>
            <w:tcBorders>
              <w:top w:val="nil"/>
              <w:left w:val="nil"/>
              <w:bottom w:val="single" w:sz="4" w:space="0" w:color="auto"/>
              <w:right w:val="single" w:sz="8" w:space="0" w:color="auto"/>
            </w:tcBorders>
            <w:shd w:val="clear" w:color="auto" w:fill="auto"/>
            <w:noWrap/>
            <w:vAlign w:val="bottom"/>
            <w:hideMark/>
          </w:tcPr>
          <w:p w14:paraId="6DD80F01" w14:textId="77777777" w:rsidR="00C165F8" w:rsidRPr="00225E67" w:rsidRDefault="00C165F8" w:rsidP="008558ED">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0,00%</w:t>
            </w:r>
          </w:p>
        </w:tc>
        <w:tc>
          <w:tcPr>
            <w:tcW w:w="1701" w:type="dxa"/>
            <w:tcBorders>
              <w:top w:val="nil"/>
              <w:left w:val="nil"/>
              <w:bottom w:val="single" w:sz="4" w:space="0" w:color="auto"/>
              <w:right w:val="single" w:sz="4" w:space="0" w:color="auto"/>
            </w:tcBorders>
            <w:shd w:val="clear" w:color="auto" w:fill="auto"/>
            <w:noWrap/>
            <w:vAlign w:val="bottom"/>
            <w:hideMark/>
          </w:tcPr>
          <w:p w14:paraId="14C4948C" w14:textId="77777777" w:rsidR="00C165F8" w:rsidRPr="00225E67" w:rsidRDefault="00C165F8" w:rsidP="008558ED">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2.824</w:t>
            </w:r>
          </w:p>
        </w:tc>
        <w:tc>
          <w:tcPr>
            <w:tcW w:w="1985" w:type="dxa"/>
            <w:tcBorders>
              <w:top w:val="nil"/>
              <w:left w:val="nil"/>
              <w:bottom w:val="single" w:sz="4" w:space="0" w:color="auto"/>
              <w:right w:val="single" w:sz="8" w:space="0" w:color="auto"/>
            </w:tcBorders>
            <w:shd w:val="clear" w:color="auto" w:fill="auto"/>
            <w:noWrap/>
            <w:vAlign w:val="bottom"/>
            <w:hideMark/>
          </w:tcPr>
          <w:p w14:paraId="54838A03" w14:textId="77777777" w:rsidR="00C165F8" w:rsidRPr="00225E67" w:rsidRDefault="00C165F8" w:rsidP="008558ED">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0,04%</w:t>
            </w:r>
          </w:p>
        </w:tc>
      </w:tr>
      <w:tr w:rsidR="00C165F8" w:rsidRPr="00225E67" w14:paraId="715A8C29" w14:textId="77777777" w:rsidTr="008558ED">
        <w:trPr>
          <w:trHeight w:val="315"/>
        </w:trPr>
        <w:tc>
          <w:tcPr>
            <w:tcW w:w="1833" w:type="dxa"/>
            <w:tcBorders>
              <w:top w:val="nil"/>
              <w:left w:val="single" w:sz="8" w:space="0" w:color="auto"/>
              <w:bottom w:val="single" w:sz="4" w:space="0" w:color="auto"/>
              <w:right w:val="single" w:sz="8" w:space="0" w:color="auto"/>
            </w:tcBorders>
            <w:shd w:val="clear" w:color="auto" w:fill="auto"/>
            <w:noWrap/>
            <w:vAlign w:val="center"/>
            <w:hideMark/>
          </w:tcPr>
          <w:p w14:paraId="578785D9" w14:textId="77777777" w:rsidR="00C165F8" w:rsidRPr="00225E67" w:rsidRDefault="00C165F8" w:rsidP="008558ED">
            <w:pPr>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visok</w:t>
            </w:r>
          </w:p>
        </w:tc>
        <w:tc>
          <w:tcPr>
            <w:tcW w:w="1701" w:type="dxa"/>
            <w:tcBorders>
              <w:top w:val="nil"/>
              <w:left w:val="nil"/>
              <w:bottom w:val="single" w:sz="4" w:space="0" w:color="auto"/>
              <w:right w:val="single" w:sz="4" w:space="0" w:color="auto"/>
            </w:tcBorders>
            <w:shd w:val="clear" w:color="auto" w:fill="auto"/>
            <w:noWrap/>
            <w:vAlign w:val="bottom"/>
            <w:hideMark/>
          </w:tcPr>
          <w:p w14:paraId="0526A75C" w14:textId="77777777" w:rsidR="00C165F8" w:rsidRPr="00225E67" w:rsidRDefault="00C165F8" w:rsidP="008558ED">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3.719.397</w:t>
            </w:r>
          </w:p>
        </w:tc>
        <w:tc>
          <w:tcPr>
            <w:tcW w:w="1701" w:type="dxa"/>
            <w:tcBorders>
              <w:top w:val="nil"/>
              <w:left w:val="nil"/>
              <w:bottom w:val="single" w:sz="4" w:space="0" w:color="auto"/>
              <w:right w:val="single" w:sz="8" w:space="0" w:color="auto"/>
            </w:tcBorders>
            <w:shd w:val="clear" w:color="auto" w:fill="auto"/>
            <w:noWrap/>
            <w:vAlign w:val="bottom"/>
            <w:hideMark/>
          </w:tcPr>
          <w:p w14:paraId="36EF1983" w14:textId="77777777" w:rsidR="00C165F8" w:rsidRPr="00225E67" w:rsidRDefault="00C165F8" w:rsidP="008558ED">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56,26%</w:t>
            </w:r>
          </w:p>
        </w:tc>
        <w:tc>
          <w:tcPr>
            <w:tcW w:w="1701" w:type="dxa"/>
            <w:tcBorders>
              <w:top w:val="nil"/>
              <w:left w:val="nil"/>
              <w:bottom w:val="single" w:sz="4" w:space="0" w:color="auto"/>
              <w:right w:val="single" w:sz="4" w:space="0" w:color="auto"/>
            </w:tcBorders>
            <w:shd w:val="clear" w:color="auto" w:fill="auto"/>
            <w:noWrap/>
            <w:vAlign w:val="bottom"/>
            <w:hideMark/>
          </w:tcPr>
          <w:p w14:paraId="0DB28D0F" w14:textId="77777777" w:rsidR="00C165F8" w:rsidRPr="00225E67" w:rsidRDefault="00C165F8" w:rsidP="008558ED">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3.693.688</w:t>
            </w:r>
          </w:p>
        </w:tc>
        <w:tc>
          <w:tcPr>
            <w:tcW w:w="1985" w:type="dxa"/>
            <w:tcBorders>
              <w:top w:val="nil"/>
              <w:left w:val="nil"/>
              <w:bottom w:val="single" w:sz="4" w:space="0" w:color="auto"/>
              <w:right w:val="single" w:sz="8" w:space="0" w:color="auto"/>
            </w:tcBorders>
            <w:shd w:val="clear" w:color="auto" w:fill="auto"/>
            <w:noWrap/>
            <w:vAlign w:val="bottom"/>
            <w:hideMark/>
          </w:tcPr>
          <w:p w14:paraId="15DA4375" w14:textId="77777777" w:rsidR="00C165F8" w:rsidRPr="00225E67" w:rsidRDefault="00C165F8" w:rsidP="008558ED">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55,49%</w:t>
            </w:r>
          </w:p>
        </w:tc>
      </w:tr>
      <w:tr w:rsidR="00C165F8" w:rsidRPr="00225E67" w14:paraId="7BBEDC11" w14:textId="77777777" w:rsidTr="008558ED">
        <w:trPr>
          <w:trHeight w:val="330"/>
        </w:trPr>
        <w:tc>
          <w:tcPr>
            <w:tcW w:w="1833" w:type="dxa"/>
            <w:tcBorders>
              <w:top w:val="nil"/>
              <w:left w:val="single" w:sz="8" w:space="0" w:color="auto"/>
              <w:bottom w:val="single" w:sz="8" w:space="0" w:color="auto"/>
              <w:right w:val="single" w:sz="8" w:space="0" w:color="auto"/>
            </w:tcBorders>
            <w:shd w:val="clear" w:color="auto" w:fill="auto"/>
            <w:noWrap/>
            <w:vAlign w:val="center"/>
            <w:hideMark/>
          </w:tcPr>
          <w:p w14:paraId="39BFE4A0" w14:textId="77777777" w:rsidR="00C165F8" w:rsidRPr="00225E67" w:rsidRDefault="00C165F8" w:rsidP="008558ED">
            <w:pP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Ukupno</w:t>
            </w:r>
          </w:p>
        </w:tc>
        <w:tc>
          <w:tcPr>
            <w:tcW w:w="1701" w:type="dxa"/>
            <w:tcBorders>
              <w:top w:val="nil"/>
              <w:left w:val="nil"/>
              <w:bottom w:val="single" w:sz="8" w:space="0" w:color="auto"/>
              <w:right w:val="single" w:sz="4" w:space="0" w:color="auto"/>
            </w:tcBorders>
            <w:shd w:val="clear" w:color="auto" w:fill="auto"/>
            <w:noWrap/>
            <w:vAlign w:val="bottom"/>
            <w:hideMark/>
          </w:tcPr>
          <w:p w14:paraId="11B29EFA" w14:textId="77777777" w:rsidR="00C165F8" w:rsidRPr="00225E67" w:rsidRDefault="00C165F8" w:rsidP="008558ED">
            <w:pPr>
              <w:jc w:val="right"/>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6.611.168</w:t>
            </w:r>
          </w:p>
        </w:tc>
        <w:tc>
          <w:tcPr>
            <w:tcW w:w="1701" w:type="dxa"/>
            <w:tcBorders>
              <w:top w:val="nil"/>
              <w:left w:val="nil"/>
              <w:bottom w:val="single" w:sz="8" w:space="0" w:color="auto"/>
              <w:right w:val="single" w:sz="8" w:space="0" w:color="auto"/>
            </w:tcBorders>
            <w:shd w:val="clear" w:color="auto" w:fill="auto"/>
            <w:noWrap/>
            <w:vAlign w:val="bottom"/>
            <w:hideMark/>
          </w:tcPr>
          <w:p w14:paraId="0C898FED" w14:textId="77777777" w:rsidR="00C165F8" w:rsidRPr="00225E67" w:rsidRDefault="00C165F8" w:rsidP="008558ED">
            <w:pPr>
              <w:jc w:val="right"/>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100,00%</w:t>
            </w:r>
          </w:p>
        </w:tc>
        <w:tc>
          <w:tcPr>
            <w:tcW w:w="1701" w:type="dxa"/>
            <w:tcBorders>
              <w:top w:val="nil"/>
              <w:left w:val="nil"/>
              <w:bottom w:val="single" w:sz="8" w:space="0" w:color="auto"/>
              <w:right w:val="single" w:sz="4" w:space="0" w:color="auto"/>
            </w:tcBorders>
            <w:shd w:val="clear" w:color="auto" w:fill="auto"/>
            <w:noWrap/>
            <w:vAlign w:val="bottom"/>
            <w:hideMark/>
          </w:tcPr>
          <w:p w14:paraId="146325EE" w14:textId="77777777" w:rsidR="00C165F8" w:rsidRPr="00225E67" w:rsidRDefault="00C165F8" w:rsidP="008558ED">
            <w:pPr>
              <w:jc w:val="right"/>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6.656.212</w:t>
            </w:r>
          </w:p>
        </w:tc>
        <w:tc>
          <w:tcPr>
            <w:tcW w:w="1985" w:type="dxa"/>
            <w:tcBorders>
              <w:top w:val="nil"/>
              <w:left w:val="nil"/>
              <w:bottom w:val="single" w:sz="8" w:space="0" w:color="auto"/>
              <w:right w:val="single" w:sz="8" w:space="0" w:color="auto"/>
            </w:tcBorders>
            <w:shd w:val="clear" w:color="auto" w:fill="auto"/>
            <w:noWrap/>
            <w:vAlign w:val="bottom"/>
            <w:hideMark/>
          </w:tcPr>
          <w:p w14:paraId="3AB2E318" w14:textId="77777777" w:rsidR="00C165F8" w:rsidRPr="00225E67" w:rsidRDefault="00C165F8" w:rsidP="008558ED">
            <w:pPr>
              <w:jc w:val="right"/>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100,00%</w:t>
            </w:r>
          </w:p>
        </w:tc>
      </w:tr>
    </w:tbl>
    <w:p w14:paraId="640D7BE6" w14:textId="77777777" w:rsidR="00C165F8" w:rsidRPr="00225E67" w:rsidRDefault="00C165F8" w:rsidP="00C165F8">
      <w:pPr>
        <w:jc w:val="both"/>
        <w:rPr>
          <w:rFonts w:ascii="Tahoma" w:hAnsi="Tahoma" w:cs="Tahoma"/>
          <w:noProof/>
          <w:sz w:val="23"/>
          <w:szCs w:val="23"/>
          <w:lang w:val="sr-Latn-BA"/>
        </w:rPr>
      </w:pPr>
    </w:p>
    <w:p w14:paraId="74570CFB" w14:textId="77777777" w:rsidR="00C165F8" w:rsidRPr="00225E67" w:rsidRDefault="00C165F8" w:rsidP="00C165F8">
      <w:pPr>
        <w:spacing w:after="120"/>
        <w:rPr>
          <w:rFonts w:ascii="Tahoma" w:hAnsi="Tahoma" w:cs="Tahoma"/>
          <w:b/>
          <w:bCs/>
          <w:noProof/>
          <w:sz w:val="23"/>
          <w:szCs w:val="23"/>
          <w:lang w:val="sr-Latn-BA"/>
        </w:rPr>
      </w:pPr>
      <w:r w:rsidRPr="00225E67">
        <w:rPr>
          <w:rFonts w:ascii="Tahoma" w:hAnsi="Tahoma" w:cs="Tahoma"/>
          <w:b/>
          <w:bCs/>
          <w:noProof/>
          <w:sz w:val="23"/>
          <w:szCs w:val="23"/>
          <w:lang w:val="sr-Latn-BA"/>
        </w:rPr>
        <w:t>Rizik koncentracije</w:t>
      </w:r>
    </w:p>
    <w:p w14:paraId="4A99DEA3" w14:textId="77777777" w:rsidR="00C165F8" w:rsidRPr="00225E67" w:rsidRDefault="00C165F8" w:rsidP="00C165F8">
      <w:pPr>
        <w:autoSpaceDE w:val="0"/>
        <w:autoSpaceDN w:val="0"/>
        <w:adjustRightInd w:val="0"/>
        <w:jc w:val="both"/>
        <w:rPr>
          <w:rFonts w:ascii="Tahoma" w:hAnsi="Tahoma" w:cs="Tahoma"/>
          <w:noProof/>
          <w:sz w:val="23"/>
          <w:szCs w:val="23"/>
          <w:lang w:val="sr-Latn-BA"/>
        </w:rPr>
      </w:pPr>
      <w:r w:rsidRPr="00225E67">
        <w:rPr>
          <w:rFonts w:ascii="Tahoma" w:hAnsi="Tahoma" w:cs="Tahoma"/>
          <w:noProof/>
          <w:sz w:val="23"/>
          <w:szCs w:val="23"/>
          <w:lang w:val="sr-Latn-BA"/>
        </w:rPr>
        <w:t>U skladu sa internom klasifikacijom nivoa rizika, Rizik koncentracije se klasifikuje u tri grupe, i to:</w:t>
      </w:r>
    </w:p>
    <w:p w14:paraId="0BFEEAF6" w14:textId="77777777" w:rsidR="00C165F8" w:rsidRPr="00225E67" w:rsidRDefault="00C165F8" w:rsidP="00C165F8">
      <w:pPr>
        <w:autoSpaceDE w:val="0"/>
        <w:autoSpaceDN w:val="0"/>
        <w:adjustRightInd w:val="0"/>
        <w:jc w:val="both"/>
        <w:rPr>
          <w:rFonts w:ascii="Tahoma" w:hAnsi="Tahoma" w:cs="Tahoma"/>
          <w:noProof/>
          <w:sz w:val="23"/>
          <w:szCs w:val="23"/>
          <w:lang w:val="sr-Latn-BA"/>
        </w:rPr>
      </w:pPr>
    </w:p>
    <w:p w14:paraId="4D888761" w14:textId="77777777" w:rsidR="00C165F8" w:rsidRPr="00225E67" w:rsidRDefault="00C165F8" w:rsidP="00C165F8">
      <w:pPr>
        <w:autoSpaceDE w:val="0"/>
        <w:autoSpaceDN w:val="0"/>
        <w:adjustRightInd w:val="0"/>
        <w:jc w:val="both"/>
        <w:rPr>
          <w:rFonts w:ascii="Tahoma" w:hAnsi="Tahoma" w:cs="Tahoma"/>
          <w:noProof/>
          <w:sz w:val="23"/>
          <w:szCs w:val="23"/>
          <w:lang w:val="sr-Latn-BA"/>
        </w:rPr>
      </w:pPr>
      <w:r w:rsidRPr="00225E67">
        <w:rPr>
          <w:rFonts w:ascii="Tahoma" w:hAnsi="Tahoma" w:cs="Tahoma"/>
          <w:noProof/>
          <w:sz w:val="23"/>
          <w:szCs w:val="23"/>
          <w:lang w:val="sr-Latn-BA"/>
        </w:rPr>
        <w:t xml:space="preserve">• Visok nivo rizika –ukoliko se više od 20% neto vrijednosti imovine fonda uloženo u jednog emitenta ili više od 40% u jedan sektor privrede. </w:t>
      </w:r>
    </w:p>
    <w:p w14:paraId="09BE6DEE" w14:textId="77777777" w:rsidR="00C165F8" w:rsidRPr="00225E67" w:rsidRDefault="00C165F8" w:rsidP="00C165F8">
      <w:pPr>
        <w:autoSpaceDE w:val="0"/>
        <w:autoSpaceDN w:val="0"/>
        <w:adjustRightInd w:val="0"/>
        <w:jc w:val="both"/>
        <w:rPr>
          <w:rFonts w:ascii="Tahoma" w:hAnsi="Tahoma" w:cs="Tahoma"/>
          <w:noProof/>
          <w:sz w:val="23"/>
          <w:szCs w:val="23"/>
          <w:lang w:val="sr-Latn-BA"/>
        </w:rPr>
      </w:pPr>
      <w:r w:rsidRPr="00225E67">
        <w:rPr>
          <w:rFonts w:ascii="Tahoma" w:hAnsi="Tahoma" w:cs="Tahoma"/>
          <w:noProof/>
          <w:sz w:val="23"/>
          <w:szCs w:val="23"/>
          <w:lang w:val="sr-Latn-BA"/>
        </w:rPr>
        <w:t>• Umjeren nivo rizika -  ukoliko je 10-20% neto vrijednosti imovine fonda uloženo u jednog emitenta ili 25- 40% u jedan sektor privrede.</w:t>
      </w:r>
    </w:p>
    <w:p w14:paraId="698C0732" w14:textId="77777777" w:rsidR="00C165F8" w:rsidRPr="00225E67" w:rsidRDefault="00C165F8" w:rsidP="00C165F8">
      <w:pPr>
        <w:autoSpaceDE w:val="0"/>
        <w:autoSpaceDN w:val="0"/>
        <w:adjustRightInd w:val="0"/>
        <w:jc w:val="both"/>
        <w:rPr>
          <w:rFonts w:ascii="Tahoma" w:hAnsi="Tahoma" w:cs="Tahoma"/>
          <w:noProof/>
          <w:sz w:val="23"/>
          <w:szCs w:val="23"/>
          <w:lang w:val="sr-Latn-BA"/>
        </w:rPr>
      </w:pPr>
      <w:r w:rsidRPr="00225E67">
        <w:rPr>
          <w:rFonts w:ascii="Tahoma" w:hAnsi="Tahoma" w:cs="Tahoma"/>
          <w:noProof/>
          <w:sz w:val="23"/>
          <w:szCs w:val="23"/>
          <w:lang w:val="sr-Latn-BA"/>
        </w:rPr>
        <w:t>• Nizak nivo rizika - ukoliko je manje od 10% neto vrijednosti imovine fonda uloženo u jednog emitenta ili manje od 25% u jedan sektor privrede.</w:t>
      </w:r>
    </w:p>
    <w:p w14:paraId="3BFCEACC" w14:textId="77777777" w:rsidR="00C165F8" w:rsidRPr="00225E67" w:rsidRDefault="00C165F8" w:rsidP="00C165F8">
      <w:pPr>
        <w:jc w:val="both"/>
        <w:rPr>
          <w:rFonts w:ascii="Tahoma" w:hAnsi="Tahoma" w:cs="Tahoma"/>
          <w:noProof/>
          <w:sz w:val="23"/>
          <w:szCs w:val="23"/>
          <w:lang w:val="sr-Latn-BA"/>
        </w:rPr>
      </w:pPr>
    </w:p>
    <w:p w14:paraId="70C86195" w14:textId="77777777" w:rsidR="00C165F8" w:rsidRPr="00225E67" w:rsidRDefault="00C165F8" w:rsidP="00C165F8">
      <w:pPr>
        <w:jc w:val="both"/>
        <w:rPr>
          <w:rFonts w:ascii="Tahoma" w:hAnsi="Tahoma" w:cs="Tahoma"/>
          <w:noProof/>
          <w:sz w:val="23"/>
          <w:szCs w:val="23"/>
          <w:lang w:val="sr-Latn-BA"/>
        </w:rPr>
      </w:pPr>
      <w:r w:rsidRPr="00225E67">
        <w:rPr>
          <w:rFonts w:ascii="Tahoma" w:hAnsi="Tahoma" w:cs="Tahoma"/>
          <w:noProof/>
          <w:sz w:val="23"/>
          <w:szCs w:val="23"/>
          <w:lang w:val="sr-Latn-BA"/>
        </w:rPr>
        <w:t xml:space="preserve">Emitent u koji ima najveće učešće u neto vrijednosti imovine fonda je </w:t>
      </w:r>
      <w:bookmarkStart w:id="10" w:name="_Hlk5274619"/>
      <w:r w:rsidRPr="00225E67">
        <w:rPr>
          <w:rFonts w:ascii="Tahoma" w:hAnsi="Tahoma" w:cs="Tahoma"/>
          <w:noProof/>
          <w:sz w:val="23"/>
          <w:szCs w:val="23"/>
          <w:lang w:val="sr-Latn-BA"/>
        </w:rPr>
        <w:t xml:space="preserve">Hidroelektrane na Drini a.d.Višegrad </w:t>
      </w:r>
      <w:bookmarkEnd w:id="10"/>
      <w:r w:rsidRPr="00225E67">
        <w:rPr>
          <w:rFonts w:ascii="Tahoma" w:hAnsi="Tahoma" w:cs="Tahoma"/>
          <w:noProof/>
          <w:sz w:val="23"/>
          <w:szCs w:val="23"/>
          <w:lang w:val="sr-Latn-BA"/>
        </w:rPr>
        <w:t>sa učešćem od 27,87 % u neto vrijednosti imovine fonda.</w:t>
      </w:r>
    </w:p>
    <w:p w14:paraId="52548A4A" w14:textId="77777777" w:rsidR="00C165F8" w:rsidRPr="00225E67" w:rsidRDefault="00C165F8" w:rsidP="00C165F8">
      <w:pPr>
        <w:jc w:val="both"/>
        <w:rPr>
          <w:rFonts w:ascii="Tahoma" w:hAnsi="Tahoma" w:cs="Tahoma"/>
          <w:noProof/>
          <w:sz w:val="23"/>
          <w:szCs w:val="23"/>
          <w:lang w:val="sr-Latn-BA"/>
        </w:rPr>
      </w:pPr>
      <w:r w:rsidRPr="00225E67">
        <w:rPr>
          <w:rFonts w:ascii="Tahoma" w:hAnsi="Tahoma" w:cs="Tahoma"/>
          <w:noProof/>
          <w:sz w:val="23"/>
          <w:szCs w:val="23"/>
          <w:lang w:val="sr-Latn-BA"/>
        </w:rPr>
        <w:t>Sektorska struktura portfelja prikazana je u tabeli br. 6</w:t>
      </w:r>
    </w:p>
    <w:p w14:paraId="104A07C9" w14:textId="77777777" w:rsidR="00C165F8" w:rsidRPr="00225E67" w:rsidRDefault="00C165F8" w:rsidP="00C165F8">
      <w:pPr>
        <w:jc w:val="both"/>
        <w:rPr>
          <w:rFonts w:ascii="Tahoma" w:hAnsi="Tahoma" w:cs="Tahoma"/>
          <w:noProof/>
          <w:sz w:val="23"/>
          <w:szCs w:val="23"/>
          <w:lang w:val="sr-Latn-BA"/>
        </w:rPr>
      </w:pPr>
      <w:r w:rsidRPr="00225E67">
        <w:rPr>
          <w:rFonts w:ascii="Tahoma" w:hAnsi="Tahoma" w:cs="Tahoma"/>
          <w:noProof/>
          <w:sz w:val="23"/>
          <w:szCs w:val="23"/>
          <w:lang w:val="sr-Latn-BA"/>
        </w:rPr>
        <w:t>Tabela br.6</w:t>
      </w:r>
    </w:p>
    <w:tbl>
      <w:tblPr>
        <w:tblW w:w="8212" w:type="dxa"/>
        <w:tblInd w:w="118" w:type="dxa"/>
        <w:tblLook w:val="04A0" w:firstRow="1" w:lastRow="0" w:firstColumn="1" w:lastColumn="0" w:noHBand="0" w:noVBand="1"/>
      </w:tblPr>
      <w:tblGrid>
        <w:gridCol w:w="4820"/>
        <w:gridCol w:w="1691"/>
        <w:gridCol w:w="1701"/>
      </w:tblGrid>
      <w:tr w:rsidR="00C165F8" w:rsidRPr="00225E67" w14:paraId="7E3B49DA" w14:textId="77777777" w:rsidTr="008558ED">
        <w:trPr>
          <w:trHeight w:val="330"/>
        </w:trPr>
        <w:tc>
          <w:tcPr>
            <w:tcW w:w="48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31967C4" w14:textId="77777777" w:rsidR="00C165F8" w:rsidRPr="00225E67" w:rsidRDefault="00C165F8" w:rsidP="008558ED">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Sektori</w:t>
            </w:r>
          </w:p>
        </w:tc>
        <w:tc>
          <w:tcPr>
            <w:tcW w:w="1691" w:type="dxa"/>
            <w:tcBorders>
              <w:top w:val="single" w:sz="8" w:space="0" w:color="auto"/>
              <w:left w:val="nil"/>
              <w:bottom w:val="single" w:sz="8" w:space="0" w:color="auto"/>
              <w:right w:val="single" w:sz="8" w:space="0" w:color="auto"/>
            </w:tcBorders>
            <w:shd w:val="clear" w:color="auto" w:fill="auto"/>
            <w:noWrap/>
            <w:vAlign w:val="center"/>
            <w:hideMark/>
          </w:tcPr>
          <w:p w14:paraId="00AE7118" w14:textId="77777777" w:rsidR="00C165F8" w:rsidRPr="00225E67" w:rsidRDefault="00C165F8" w:rsidP="008558ED">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Iznos</w:t>
            </w:r>
          </w:p>
        </w:tc>
        <w:tc>
          <w:tcPr>
            <w:tcW w:w="1701" w:type="dxa"/>
            <w:tcBorders>
              <w:top w:val="single" w:sz="8" w:space="0" w:color="auto"/>
              <w:left w:val="nil"/>
              <w:bottom w:val="single" w:sz="8" w:space="0" w:color="auto"/>
              <w:right w:val="single" w:sz="8" w:space="0" w:color="auto"/>
            </w:tcBorders>
            <w:shd w:val="clear" w:color="auto" w:fill="auto"/>
            <w:noWrap/>
            <w:vAlign w:val="center"/>
            <w:hideMark/>
          </w:tcPr>
          <w:p w14:paraId="3F35639D" w14:textId="77777777" w:rsidR="00C165F8" w:rsidRPr="00225E67" w:rsidRDefault="00C165F8" w:rsidP="008558ED">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w:t>
            </w:r>
          </w:p>
        </w:tc>
      </w:tr>
      <w:tr w:rsidR="00C165F8" w:rsidRPr="00225E67" w14:paraId="42008F0D" w14:textId="77777777" w:rsidTr="008558ED">
        <w:trPr>
          <w:trHeight w:val="315"/>
        </w:trPr>
        <w:tc>
          <w:tcPr>
            <w:tcW w:w="4820" w:type="dxa"/>
            <w:tcBorders>
              <w:top w:val="nil"/>
              <w:left w:val="single" w:sz="8" w:space="0" w:color="auto"/>
              <w:bottom w:val="single" w:sz="8" w:space="0" w:color="auto"/>
              <w:right w:val="single" w:sz="8" w:space="0" w:color="auto"/>
            </w:tcBorders>
            <w:shd w:val="clear" w:color="auto" w:fill="auto"/>
            <w:noWrap/>
            <w:vAlign w:val="center"/>
            <w:hideMark/>
          </w:tcPr>
          <w:p w14:paraId="438D3CC3" w14:textId="77777777" w:rsidR="00C165F8" w:rsidRPr="00225E67" w:rsidRDefault="00C165F8" w:rsidP="008558ED">
            <w:pPr>
              <w:rPr>
                <w:rFonts w:ascii="Tahoma" w:hAnsi="Tahoma" w:cs="Tahoma"/>
                <w:noProof/>
                <w:sz w:val="23"/>
                <w:szCs w:val="23"/>
                <w:lang w:val="sr-Latn-BA" w:eastAsia="sr-Latn-BA"/>
              </w:rPr>
            </w:pPr>
            <w:r w:rsidRPr="00225E67">
              <w:rPr>
                <w:rFonts w:ascii="Tahoma" w:hAnsi="Tahoma" w:cs="Tahoma"/>
                <w:noProof/>
                <w:sz w:val="23"/>
                <w:szCs w:val="23"/>
                <w:lang w:val="sr-Latn-BA" w:eastAsia="sr-Latn-BA"/>
              </w:rPr>
              <w:t>Proizvodnja i snabdijevanje el. energijom i gasom</w:t>
            </w:r>
          </w:p>
        </w:tc>
        <w:tc>
          <w:tcPr>
            <w:tcW w:w="1691" w:type="dxa"/>
            <w:tcBorders>
              <w:top w:val="nil"/>
              <w:left w:val="nil"/>
              <w:bottom w:val="single" w:sz="8" w:space="0" w:color="auto"/>
              <w:right w:val="single" w:sz="8" w:space="0" w:color="auto"/>
            </w:tcBorders>
            <w:shd w:val="clear" w:color="auto" w:fill="auto"/>
            <w:noWrap/>
            <w:vAlign w:val="center"/>
            <w:hideMark/>
          </w:tcPr>
          <w:p w14:paraId="1C60D564" w14:textId="77777777" w:rsidR="00C165F8" w:rsidRPr="00225E67" w:rsidRDefault="00C165F8" w:rsidP="008558ED">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2.882.783</w:t>
            </w:r>
          </w:p>
        </w:tc>
        <w:tc>
          <w:tcPr>
            <w:tcW w:w="1701" w:type="dxa"/>
            <w:tcBorders>
              <w:top w:val="nil"/>
              <w:left w:val="nil"/>
              <w:bottom w:val="single" w:sz="8" w:space="0" w:color="auto"/>
              <w:right w:val="single" w:sz="8" w:space="0" w:color="auto"/>
            </w:tcBorders>
            <w:shd w:val="clear" w:color="auto" w:fill="auto"/>
            <w:noWrap/>
            <w:vAlign w:val="center"/>
            <w:hideMark/>
          </w:tcPr>
          <w:p w14:paraId="49E71AEB" w14:textId="77777777" w:rsidR="00C165F8" w:rsidRPr="00225E67" w:rsidRDefault="00C165F8" w:rsidP="008558ED">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44,21%</w:t>
            </w:r>
          </w:p>
        </w:tc>
      </w:tr>
      <w:tr w:rsidR="00C165F8" w:rsidRPr="00225E67" w14:paraId="608F1415" w14:textId="77777777" w:rsidTr="008558ED">
        <w:trPr>
          <w:trHeight w:val="315"/>
        </w:trPr>
        <w:tc>
          <w:tcPr>
            <w:tcW w:w="4820" w:type="dxa"/>
            <w:tcBorders>
              <w:top w:val="nil"/>
              <w:left w:val="single" w:sz="8" w:space="0" w:color="auto"/>
              <w:bottom w:val="single" w:sz="8" w:space="0" w:color="auto"/>
              <w:right w:val="single" w:sz="8" w:space="0" w:color="auto"/>
            </w:tcBorders>
            <w:shd w:val="clear" w:color="auto" w:fill="auto"/>
            <w:noWrap/>
            <w:vAlign w:val="center"/>
            <w:hideMark/>
          </w:tcPr>
          <w:p w14:paraId="2A7CABDB" w14:textId="77777777" w:rsidR="00C165F8" w:rsidRPr="00225E67" w:rsidRDefault="00C165F8" w:rsidP="008558ED">
            <w:pPr>
              <w:rPr>
                <w:rFonts w:ascii="Tahoma" w:hAnsi="Tahoma" w:cs="Tahoma"/>
                <w:noProof/>
                <w:sz w:val="23"/>
                <w:szCs w:val="23"/>
                <w:lang w:val="sr-Latn-BA" w:eastAsia="sr-Latn-BA"/>
              </w:rPr>
            </w:pPr>
            <w:r w:rsidRPr="00225E67">
              <w:rPr>
                <w:rFonts w:ascii="Tahoma" w:hAnsi="Tahoma" w:cs="Tahoma"/>
                <w:noProof/>
                <w:sz w:val="23"/>
                <w:szCs w:val="23"/>
                <w:lang w:val="sr-Latn-BA" w:eastAsia="sr-Latn-BA"/>
              </w:rPr>
              <w:lastRenderedPageBreak/>
              <w:t>Telekomunikacije</w:t>
            </w:r>
          </w:p>
        </w:tc>
        <w:tc>
          <w:tcPr>
            <w:tcW w:w="1691" w:type="dxa"/>
            <w:tcBorders>
              <w:top w:val="nil"/>
              <w:left w:val="nil"/>
              <w:bottom w:val="single" w:sz="8" w:space="0" w:color="auto"/>
              <w:right w:val="single" w:sz="8" w:space="0" w:color="auto"/>
            </w:tcBorders>
            <w:shd w:val="clear" w:color="auto" w:fill="auto"/>
            <w:noWrap/>
            <w:vAlign w:val="center"/>
            <w:hideMark/>
          </w:tcPr>
          <w:p w14:paraId="0BD9CB00" w14:textId="77777777" w:rsidR="00C165F8" w:rsidRPr="00225E67" w:rsidRDefault="00C165F8" w:rsidP="008558ED">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782.031</w:t>
            </w:r>
          </w:p>
        </w:tc>
        <w:tc>
          <w:tcPr>
            <w:tcW w:w="1701" w:type="dxa"/>
            <w:tcBorders>
              <w:top w:val="nil"/>
              <w:left w:val="nil"/>
              <w:bottom w:val="single" w:sz="8" w:space="0" w:color="auto"/>
              <w:right w:val="single" w:sz="8" w:space="0" w:color="auto"/>
            </w:tcBorders>
            <w:shd w:val="clear" w:color="auto" w:fill="auto"/>
            <w:noWrap/>
            <w:vAlign w:val="center"/>
            <w:hideMark/>
          </w:tcPr>
          <w:p w14:paraId="3D4D7BB1" w14:textId="77777777" w:rsidR="00C165F8" w:rsidRPr="00225E67" w:rsidRDefault="00C165F8" w:rsidP="008558ED">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11,99%</w:t>
            </w:r>
          </w:p>
        </w:tc>
      </w:tr>
      <w:tr w:rsidR="00C165F8" w:rsidRPr="00225E67" w14:paraId="10318D51" w14:textId="77777777" w:rsidTr="008558ED">
        <w:trPr>
          <w:trHeight w:val="315"/>
        </w:trPr>
        <w:tc>
          <w:tcPr>
            <w:tcW w:w="4820" w:type="dxa"/>
            <w:tcBorders>
              <w:top w:val="nil"/>
              <w:left w:val="single" w:sz="8" w:space="0" w:color="auto"/>
              <w:bottom w:val="single" w:sz="8" w:space="0" w:color="auto"/>
              <w:right w:val="single" w:sz="8" w:space="0" w:color="auto"/>
            </w:tcBorders>
            <w:shd w:val="clear" w:color="auto" w:fill="auto"/>
            <w:noWrap/>
            <w:vAlign w:val="center"/>
            <w:hideMark/>
          </w:tcPr>
          <w:p w14:paraId="6C026136" w14:textId="77777777" w:rsidR="00C165F8" w:rsidRPr="00225E67" w:rsidRDefault="00C165F8" w:rsidP="008558ED">
            <w:pPr>
              <w:rPr>
                <w:rFonts w:ascii="Tahoma" w:hAnsi="Tahoma" w:cs="Tahoma"/>
                <w:noProof/>
                <w:sz w:val="23"/>
                <w:szCs w:val="23"/>
                <w:lang w:val="sr-Latn-BA" w:eastAsia="sr-Latn-BA"/>
              </w:rPr>
            </w:pPr>
            <w:r w:rsidRPr="00225E67">
              <w:rPr>
                <w:rFonts w:ascii="Tahoma" w:hAnsi="Tahoma" w:cs="Tahoma"/>
                <w:noProof/>
                <w:sz w:val="23"/>
                <w:szCs w:val="23"/>
                <w:lang w:val="sr-Latn-BA" w:eastAsia="sr-Latn-BA"/>
              </w:rPr>
              <w:t>Poslovanje nekretninama</w:t>
            </w:r>
          </w:p>
        </w:tc>
        <w:tc>
          <w:tcPr>
            <w:tcW w:w="1691" w:type="dxa"/>
            <w:tcBorders>
              <w:top w:val="nil"/>
              <w:left w:val="nil"/>
              <w:bottom w:val="single" w:sz="8" w:space="0" w:color="auto"/>
              <w:right w:val="single" w:sz="8" w:space="0" w:color="auto"/>
            </w:tcBorders>
            <w:shd w:val="clear" w:color="auto" w:fill="auto"/>
            <w:noWrap/>
            <w:vAlign w:val="center"/>
            <w:hideMark/>
          </w:tcPr>
          <w:p w14:paraId="325850ED" w14:textId="77777777" w:rsidR="00C165F8" w:rsidRPr="00225E67" w:rsidRDefault="00C165F8" w:rsidP="008558ED">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379.268</w:t>
            </w:r>
          </w:p>
        </w:tc>
        <w:tc>
          <w:tcPr>
            <w:tcW w:w="1701" w:type="dxa"/>
            <w:tcBorders>
              <w:top w:val="nil"/>
              <w:left w:val="nil"/>
              <w:bottom w:val="single" w:sz="8" w:space="0" w:color="auto"/>
              <w:right w:val="single" w:sz="8" w:space="0" w:color="auto"/>
            </w:tcBorders>
            <w:shd w:val="clear" w:color="auto" w:fill="auto"/>
            <w:noWrap/>
            <w:vAlign w:val="center"/>
            <w:hideMark/>
          </w:tcPr>
          <w:p w14:paraId="012554C4" w14:textId="77777777" w:rsidR="00C165F8" w:rsidRPr="00225E67" w:rsidRDefault="00C165F8" w:rsidP="008558ED">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5,82%</w:t>
            </w:r>
          </w:p>
        </w:tc>
      </w:tr>
      <w:tr w:rsidR="00C165F8" w:rsidRPr="00225E67" w14:paraId="2BDE39E9" w14:textId="77777777" w:rsidTr="008558ED">
        <w:trPr>
          <w:trHeight w:val="315"/>
        </w:trPr>
        <w:tc>
          <w:tcPr>
            <w:tcW w:w="4820" w:type="dxa"/>
            <w:tcBorders>
              <w:top w:val="nil"/>
              <w:left w:val="single" w:sz="8" w:space="0" w:color="auto"/>
              <w:bottom w:val="single" w:sz="8" w:space="0" w:color="auto"/>
              <w:right w:val="single" w:sz="8" w:space="0" w:color="auto"/>
            </w:tcBorders>
            <w:shd w:val="clear" w:color="auto" w:fill="auto"/>
            <w:noWrap/>
            <w:vAlign w:val="center"/>
            <w:hideMark/>
          </w:tcPr>
          <w:p w14:paraId="5807130C" w14:textId="77777777" w:rsidR="00C165F8" w:rsidRPr="00225E67" w:rsidRDefault="00C165F8" w:rsidP="008558ED">
            <w:pPr>
              <w:rPr>
                <w:rFonts w:ascii="Tahoma" w:hAnsi="Tahoma" w:cs="Tahoma"/>
                <w:noProof/>
                <w:sz w:val="23"/>
                <w:szCs w:val="23"/>
                <w:lang w:val="sr-Latn-BA" w:eastAsia="sr-Latn-BA"/>
              </w:rPr>
            </w:pPr>
            <w:r w:rsidRPr="00225E67">
              <w:rPr>
                <w:rFonts w:ascii="Tahoma" w:hAnsi="Tahoma" w:cs="Tahoma"/>
                <w:noProof/>
                <w:sz w:val="23"/>
                <w:szCs w:val="23"/>
                <w:lang w:val="sr-Latn-BA" w:eastAsia="sr-Latn-BA"/>
              </w:rPr>
              <w:t>Preradjivačka industrija</w:t>
            </w:r>
          </w:p>
        </w:tc>
        <w:tc>
          <w:tcPr>
            <w:tcW w:w="1691" w:type="dxa"/>
            <w:tcBorders>
              <w:top w:val="nil"/>
              <w:left w:val="nil"/>
              <w:bottom w:val="single" w:sz="8" w:space="0" w:color="auto"/>
              <w:right w:val="single" w:sz="8" w:space="0" w:color="auto"/>
            </w:tcBorders>
            <w:shd w:val="clear" w:color="auto" w:fill="auto"/>
            <w:noWrap/>
            <w:vAlign w:val="center"/>
            <w:hideMark/>
          </w:tcPr>
          <w:p w14:paraId="2272A8A9" w14:textId="77777777" w:rsidR="00C165F8" w:rsidRPr="00225E67" w:rsidRDefault="00C165F8" w:rsidP="008558ED">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225.502</w:t>
            </w:r>
          </w:p>
        </w:tc>
        <w:tc>
          <w:tcPr>
            <w:tcW w:w="1701" w:type="dxa"/>
            <w:tcBorders>
              <w:top w:val="nil"/>
              <w:left w:val="nil"/>
              <w:bottom w:val="single" w:sz="8" w:space="0" w:color="auto"/>
              <w:right w:val="single" w:sz="8" w:space="0" w:color="auto"/>
            </w:tcBorders>
            <w:shd w:val="clear" w:color="auto" w:fill="auto"/>
            <w:noWrap/>
            <w:vAlign w:val="center"/>
            <w:hideMark/>
          </w:tcPr>
          <w:p w14:paraId="23BD2FC4" w14:textId="77777777" w:rsidR="00C165F8" w:rsidRPr="00225E67" w:rsidRDefault="00C165F8" w:rsidP="008558ED">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3,46%</w:t>
            </w:r>
          </w:p>
        </w:tc>
      </w:tr>
      <w:tr w:rsidR="00C165F8" w:rsidRPr="00225E67" w14:paraId="2C3D3962" w14:textId="77777777" w:rsidTr="008558ED">
        <w:trPr>
          <w:trHeight w:val="315"/>
        </w:trPr>
        <w:tc>
          <w:tcPr>
            <w:tcW w:w="4820" w:type="dxa"/>
            <w:tcBorders>
              <w:top w:val="nil"/>
              <w:left w:val="single" w:sz="8" w:space="0" w:color="auto"/>
              <w:bottom w:val="single" w:sz="8" w:space="0" w:color="auto"/>
              <w:right w:val="single" w:sz="8" w:space="0" w:color="auto"/>
            </w:tcBorders>
            <w:shd w:val="clear" w:color="auto" w:fill="auto"/>
            <w:noWrap/>
            <w:vAlign w:val="center"/>
            <w:hideMark/>
          </w:tcPr>
          <w:p w14:paraId="076072F8" w14:textId="77777777" w:rsidR="00C165F8" w:rsidRPr="00225E67" w:rsidRDefault="00C165F8" w:rsidP="008558ED">
            <w:pPr>
              <w:rPr>
                <w:rFonts w:ascii="Tahoma" w:hAnsi="Tahoma" w:cs="Tahoma"/>
                <w:noProof/>
                <w:sz w:val="23"/>
                <w:szCs w:val="23"/>
                <w:lang w:val="sr-Latn-BA" w:eastAsia="sr-Latn-BA"/>
              </w:rPr>
            </w:pPr>
            <w:r w:rsidRPr="00225E67">
              <w:rPr>
                <w:rFonts w:ascii="Tahoma" w:hAnsi="Tahoma" w:cs="Tahoma"/>
                <w:noProof/>
                <w:sz w:val="23"/>
                <w:szCs w:val="23"/>
                <w:lang w:val="sr-Latn-BA" w:eastAsia="sr-Latn-BA"/>
              </w:rPr>
              <w:t>Turizam</w:t>
            </w:r>
          </w:p>
        </w:tc>
        <w:tc>
          <w:tcPr>
            <w:tcW w:w="1691" w:type="dxa"/>
            <w:tcBorders>
              <w:top w:val="nil"/>
              <w:left w:val="nil"/>
              <w:bottom w:val="single" w:sz="8" w:space="0" w:color="auto"/>
              <w:right w:val="single" w:sz="8" w:space="0" w:color="auto"/>
            </w:tcBorders>
            <w:shd w:val="clear" w:color="auto" w:fill="auto"/>
            <w:noWrap/>
            <w:vAlign w:val="center"/>
            <w:hideMark/>
          </w:tcPr>
          <w:p w14:paraId="1A2746F9" w14:textId="77777777" w:rsidR="00C165F8" w:rsidRPr="00225E67" w:rsidRDefault="00C165F8" w:rsidP="008558ED">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198.710</w:t>
            </w:r>
          </w:p>
        </w:tc>
        <w:tc>
          <w:tcPr>
            <w:tcW w:w="1701" w:type="dxa"/>
            <w:tcBorders>
              <w:top w:val="nil"/>
              <w:left w:val="nil"/>
              <w:bottom w:val="single" w:sz="8" w:space="0" w:color="auto"/>
              <w:right w:val="single" w:sz="8" w:space="0" w:color="auto"/>
            </w:tcBorders>
            <w:shd w:val="clear" w:color="auto" w:fill="auto"/>
            <w:noWrap/>
            <w:vAlign w:val="center"/>
            <w:hideMark/>
          </w:tcPr>
          <w:p w14:paraId="6FDA7EBE" w14:textId="77777777" w:rsidR="00C165F8" w:rsidRPr="00225E67" w:rsidRDefault="00C165F8" w:rsidP="008558ED">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3,05%</w:t>
            </w:r>
          </w:p>
        </w:tc>
      </w:tr>
      <w:tr w:rsidR="00C165F8" w:rsidRPr="00225E67" w14:paraId="554FF48B" w14:textId="77777777" w:rsidTr="008558ED">
        <w:trPr>
          <w:trHeight w:val="315"/>
        </w:trPr>
        <w:tc>
          <w:tcPr>
            <w:tcW w:w="4820" w:type="dxa"/>
            <w:tcBorders>
              <w:top w:val="nil"/>
              <w:left w:val="single" w:sz="8" w:space="0" w:color="auto"/>
              <w:bottom w:val="single" w:sz="8" w:space="0" w:color="auto"/>
              <w:right w:val="single" w:sz="8" w:space="0" w:color="auto"/>
            </w:tcBorders>
            <w:shd w:val="clear" w:color="auto" w:fill="auto"/>
            <w:noWrap/>
            <w:vAlign w:val="center"/>
            <w:hideMark/>
          </w:tcPr>
          <w:p w14:paraId="43CF2FE8" w14:textId="77777777" w:rsidR="00C165F8" w:rsidRPr="00225E67" w:rsidRDefault="00C165F8" w:rsidP="008558ED">
            <w:pPr>
              <w:rPr>
                <w:rFonts w:ascii="Tahoma" w:hAnsi="Tahoma" w:cs="Tahoma"/>
                <w:noProof/>
                <w:sz w:val="23"/>
                <w:szCs w:val="23"/>
                <w:lang w:val="sr-Latn-BA" w:eastAsia="sr-Latn-BA"/>
              </w:rPr>
            </w:pPr>
            <w:r w:rsidRPr="00225E67">
              <w:rPr>
                <w:rFonts w:ascii="Tahoma" w:hAnsi="Tahoma" w:cs="Tahoma"/>
                <w:noProof/>
                <w:sz w:val="23"/>
                <w:szCs w:val="23"/>
                <w:lang w:val="sr-Latn-BA" w:eastAsia="sr-Latn-BA"/>
              </w:rPr>
              <w:t>Gradjevinarstvo</w:t>
            </w:r>
          </w:p>
        </w:tc>
        <w:tc>
          <w:tcPr>
            <w:tcW w:w="1691" w:type="dxa"/>
            <w:tcBorders>
              <w:top w:val="nil"/>
              <w:left w:val="nil"/>
              <w:bottom w:val="single" w:sz="8" w:space="0" w:color="auto"/>
              <w:right w:val="single" w:sz="8" w:space="0" w:color="auto"/>
            </w:tcBorders>
            <w:shd w:val="clear" w:color="auto" w:fill="auto"/>
            <w:noWrap/>
            <w:vAlign w:val="center"/>
            <w:hideMark/>
          </w:tcPr>
          <w:p w14:paraId="7E6D9FCF" w14:textId="77777777" w:rsidR="00C165F8" w:rsidRPr="00225E67" w:rsidRDefault="00C165F8" w:rsidP="008558ED">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130.144</w:t>
            </w:r>
          </w:p>
        </w:tc>
        <w:tc>
          <w:tcPr>
            <w:tcW w:w="1701" w:type="dxa"/>
            <w:tcBorders>
              <w:top w:val="nil"/>
              <w:left w:val="nil"/>
              <w:bottom w:val="single" w:sz="8" w:space="0" w:color="auto"/>
              <w:right w:val="single" w:sz="8" w:space="0" w:color="auto"/>
            </w:tcBorders>
            <w:shd w:val="clear" w:color="auto" w:fill="auto"/>
            <w:noWrap/>
            <w:vAlign w:val="center"/>
            <w:hideMark/>
          </w:tcPr>
          <w:p w14:paraId="4E98C1CF" w14:textId="77777777" w:rsidR="00C165F8" w:rsidRPr="00225E67" w:rsidRDefault="00C165F8" w:rsidP="008558ED">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2,00%</w:t>
            </w:r>
          </w:p>
        </w:tc>
      </w:tr>
      <w:tr w:rsidR="00C165F8" w:rsidRPr="00225E67" w14:paraId="5477D7D5" w14:textId="77777777" w:rsidTr="008558ED">
        <w:trPr>
          <w:trHeight w:val="315"/>
        </w:trPr>
        <w:tc>
          <w:tcPr>
            <w:tcW w:w="4820" w:type="dxa"/>
            <w:tcBorders>
              <w:top w:val="nil"/>
              <w:left w:val="single" w:sz="8" w:space="0" w:color="auto"/>
              <w:bottom w:val="single" w:sz="8" w:space="0" w:color="auto"/>
              <w:right w:val="single" w:sz="8" w:space="0" w:color="auto"/>
            </w:tcBorders>
            <w:shd w:val="clear" w:color="auto" w:fill="auto"/>
            <w:noWrap/>
            <w:vAlign w:val="center"/>
            <w:hideMark/>
          </w:tcPr>
          <w:p w14:paraId="77656A3C" w14:textId="77777777" w:rsidR="00C165F8" w:rsidRPr="00225E67" w:rsidRDefault="00C165F8" w:rsidP="008558ED">
            <w:pPr>
              <w:rPr>
                <w:rFonts w:ascii="Tahoma" w:hAnsi="Tahoma" w:cs="Tahoma"/>
                <w:noProof/>
                <w:sz w:val="23"/>
                <w:szCs w:val="23"/>
                <w:lang w:val="sr-Latn-BA" w:eastAsia="sr-Latn-BA"/>
              </w:rPr>
            </w:pPr>
            <w:r w:rsidRPr="00225E67">
              <w:rPr>
                <w:rFonts w:ascii="Tahoma" w:hAnsi="Tahoma" w:cs="Tahoma"/>
                <w:noProof/>
                <w:sz w:val="23"/>
                <w:szCs w:val="23"/>
                <w:lang w:val="sr-Latn-BA" w:eastAsia="sr-Latn-BA"/>
              </w:rPr>
              <w:t>Snabdijevanje vodom</w:t>
            </w:r>
          </w:p>
        </w:tc>
        <w:tc>
          <w:tcPr>
            <w:tcW w:w="1691" w:type="dxa"/>
            <w:tcBorders>
              <w:top w:val="nil"/>
              <w:left w:val="nil"/>
              <w:bottom w:val="single" w:sz="8" w:space="0" w:color="auto"/>
              <w:right w:val="single" w:sz="8" w:space="0" w:color="auto"/>
            </w:tcBorders>
            <w:shd w:val="clear" w:color="auto" w:fill="auto"/>
            <w:noWrap/>
            <w:vAlign w:val="center"/>
            <w:hideMark/>
          </w:tcPr>
          <w:p w14:paraId="08A975AA" w14:textId="77777777" w:rsidR="00C165F8" w:rsidRPr="00225E67" w:rsidRDefault="00C165F8" w:rsidP="008558ED">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34.615</w:t>
            </w:r>
          </w:p>
        </w:tc>
        <w:tc>
          <w:tcPr>
            <w:tcW w:w="1701" w:type="dxa"/>
            <w:tcBorders>
              <w:top w:val="nil"/>
              <w:left w:val="nil"/>
              <w:bottom w:val="single" w:sz="8" w:space="0" w:color="auto"/>
              <w:right w:val="single" w:sz="8" w:space="0" w:color="auto"/>
            </w:tcBorders>
            <w:shd w:val="clear" w:color="auto" w:fill="auto"/>
            <w:noWrap/>
            <w:vAlign w:val="center"/>
            <w:hideMark/>
          </w:tcPr>
          <w:p w14:paraId="6813A397" w14:textId="77777777" w:rsidR="00C165F8" w:rsidRPr="00225E67" w:rsidRDefault="00C165F8" w:rsidP="008558ED">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0,53%</w:t>
            </w:r>
          </w:p>
        </w:tc>
      </w:tr>
      <w:tr w:rsidR="00C165F8" w:rsidRPr="00225E67" w14:paraId="2B9735D7" w14:textId="77777777" w:rsidTr="008558ED">
        <w:trPr>
          <w:trHeight w:val="315"/>
        </w:trPr>
        <w:tc>
          <w:tcPr>
            <w:tcW w:w="4820" w:type="dxa"/>
            <w:tcBorders>
              <w:top w:val="nil"/>
              <w:left w:val="single" w:sz="8" w:space="0" w:color="auto"/>
              <w:bottom w:val="single" w:sz="8" w:space="0" w:color="auto"/>
              <w:right w:val="single" w:sz="8" w:space="0" w:color="auto"/>
            </w:tcBorders>
            <w:shd w:val="clear" w:color="auto" w:fill="auto"/>
            <w:noWrap/>
            <w:vAlign w:val="center"/>
            <w:hideMark/>
          </w:tcPr>
          <w:p w14:paraId="149FE983" w14:textId="77777777" w:rsidR="00C165F8" w:rsidRPr="00225E67" w:rsidRDefault="00C165F8" w:rsidP="008558ED">
            <w:pPr>
              <w:rPr>
                <w:rFonts w:ascii="Tahoma" w:hAnsi="Tahoma" w:cs="Tahoma"/>
                <w:noProof/>
                <w:sz w:val="23"/>
                <w:szCs w:val="23"/>
                <w:lang w:val="sr-Latn-BA" w:eastAsia="sr-Latn-BA"/>
              </w:rPr>
            </w:pPr>
            <w:r w:rsidRPr="00225E67">
              <w:rPr>
                <w:rFonts w:ascii="Tahoma" w:hAnsi="Tahoma" w:cs="Tahoma"/>
                <w:noProof/>
                <w:sz w:val="23"/>
                <w:szCs w:val="23"/>
                <w:lang w:val="sr-Latn-BA" w:eastAsia="sr-Latn-BA"/>
              </w:rPr>
              <w:t>Saobraćaj</w:t>
            </w:r>
          </w:p>
        </w:tc>
        <w:tc>
          <w:tcPr>
            <w:tcW w:w="1691" w:type="dxa"/>
            <w:tcBorders>
              <w:top w:val="nil"/>
              <w:left w:val="nil"/>
              <w:bottom w:val="single" w:sz="8" w:space="0" w:color="auto"/>
              <w:right w:val="single" w:sz="8" w:space="0" w:color="auto"/>
            </w:tcBorders>
            <w:shd w:val="clear" w:color="auto" w:fill="auto"/>
            <w:noWrap/>
            <w:vAlign w:val="center"/>
            <w:hideMark/>
          </w:tcPr>
          <w:p w14:paraId="55CE05FA" w14:textId="77777777" w:rsidR="00C165F8" w:rsidRPr="00225E67" w:rsidRDefault="00C165F8" w:rsidP="008558ED">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23.798</w:t>
            </w:r>
          </w:p>
        </w:tc>
        <w:tc>
          <w:tcPr>
            <w:tcW w:w="1701" w:type="dxa"/>
            <w:tcBorders>
              <w:top w:val="nil"/>
              <w:left w:val="nil"/>
              <w:bottom w:val="single" w:sz="8" w:space="0" w:color="auto"/>
              <w:right w:val="single" w:sz="8" w:space="0" w:color="auto"/>
            </w:tcBorders>
            <w:shd w:val="clear" w:color="auto" w:fill="auto"/>
            <w:noWrap/>
            <w:vAlign w:val="center"/>
            <w:hideMark/>
          </w:tcPr>
          <w:p w14:paraId="5BC83B49" w14:textId="77777777" w:rsidR="00C165F8" w:rsidRPr="00225E67" w:rsidRDefault="00C165F8" w:rsidP="008558ED">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0,36%</w:t>
            </w:r>
          </w:p>
        </w:tc>
      </w:tr>
      <w:tr w:rsidR="00C165F8" w:rsidRPr="00225E67" w14:paraId="50D69C77" w14:textId="77777777" w:rsidTr="008558ED">
        <w:trPr>
          <w:trHeight w:val="315"/>
        </w:trPr>
        <w:tc>
          <w:tcPr>
            <w:tcW w:w="4820" w:type="dxa"/>
            <w:tcBorders>
              <w:top w:val="nil"/>
              <w:left w:val="single" w:sz="8" w:space="0" w:color="auto"/>
              <w:bottom w:val="single" w:sz="8" w:space="0" w:color="auto"/>
              <w:right w:val="single" w:sz="8" w:space="0" w:color="auto"/>
            </w:tcBorders>
            <w:shd w:val="clear" w:color="auto" w:fill="auto"/>
            <w:noWrap/>
            <w:vAlign w:val="center"/>
            <w:hideMark/>
          </w:tcPr>
          <w:p w14:paraId="62F9362C" w14:textId="77777777" w:rsidR="00C165F8" w:rsidRPr="00225E67" w:rsidRDefault="00C165F8" w:rsidP="008558ED">
            <w:pPr>
              <w:rPr>
                <w:rFonts w:ascii="Tahoma" w:hAnsi="Tahoma" w:cs="Tahoma"/>
                <w:noProof/>
                <w:sz w:val="23"/>
                <w:szCs w:val="23"/>
                <w:lang w:val="sr-Latn-BA" w:eastAsia="sr-Latn-BA"/>
              </w:rPr>
            </w:pPr>
            <w:r w:rsidRPr="00225E67">
              <w:rPr>
                <w:rFonts w:ascii="Tahoma" w:hAnsi="Tahoma" w:cs="Tahoma"/>
                <w:noProof/>
                <w:sz w:val="23"/>
                <w:szCs w:val="23"/>
                <w:lang w:val="sr-Latn-BA" w:eastAsia="sr-Latn-BA"/>
              </w:rPr>
              <w:t>Poljoprivreda</w:t>
            </w:r>
          </w:p>
        </w:tc>
        <w:tc>
          <w:tcPr>
            <w:tcW w:w="1691" w:type="dxa"/>
            <w:tcBorders>
              <w:top w:val="nil"/>
              <w:left w:val="nil"/>
              <w:bottom w:val="single" w:sz="8" w:space="0" w:color="auto"/>
              <w:right w:val="single" w:sz="8" w:space="0" w:color="auto"/>
            </w:tcBorders>
            <w:shd w:val="clear" w:color="auto" w:fill="auto"/>
            <w:noWrap/>
            <w:vAlign w:val="center"/>
            <w:hideMark/>
          </w:tcPr>
          <w:p w14:paraId="0DA01140" w14:textId="77777777" w:rsidR="00C165F8" w:rsidRPr="00225E67" w:rsidRDefault="00C165F8" w:rsidP="008558ED">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1.985</w:t>
            </w:r>
          </w:p>
        </w:tc>
        <w:tc>
          <w:tcPr>
            <w:tcW w:w="1701" w:type="dxa"/>
            <w:tcBorders>
              <w:top w:val="nil"/>
              <w:left w:val="nil"/>
              <w:bottom w:val="single" w:sz="8" w:space="0" w:color="auto"/>
              <w:right w:val="single" w:sz="8" w:space="0" w:color="auto"/>
            </w:tcBorders>
            <w:shd w:val="clear" w:color="auto" w:fill="auto"/>
            <w:noWrap/>
            <w:vAlign w:val="center"/>
            <w:hideMark/>
          </w:tcPr>
          <w:p w14:paraId="50C280DE" w14:textId="77777777" w:rsidR="00C165F8" w:rsidRPr="00225E67" w:rsidRDefault="00C165F8" w:rsidP="008558ED">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0,03%</w:t>
            </w:r>
          </w:p>
        </w:tc>
      </w:tr>
      <w:tr w:rsidR="00C165F8" w:rsidRPr="00225E67" w14:paraId="0C7946CA" w14:textId="77777777" w:rsidTr="008558ED">
        <w:trPr>
          <w:trHeight w:val="315"/>
        </w:trPr>
        <w:tc>
          <w:tcPr>
            <w:tcW w:w="4820" w:type="dxa"/>
            <w:tcBorders>
              <w:top w:val="nil"/>
              <w:left w:val="single" w:sz="8" w:space="0" w:color="auto"/>
              <w:bottom w:val="single" w:sz="8" w:space="0" w:color="auto"/>
              <w:right w:val="single" w:sz="8" w:space="0" w:color="auto"/>
            </w:tcBorders>
            <w:shd w:val="clear" w:color="auto" w:fill="auto"/>
            <w:noWrap/>
            <w:vAlign w:val="center"/>
            <w:hideMark/>
          </w:tcPr>
          <w:p w14:paraId="543D5693" w14:textId="77777777" w:rsidR="00C165F8" w:rsidRPr="00225E67" w:rsidRDefault="00C165F8" w:rsidP="008558ED">
            <w:pP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Ukupno</w:t>
            </w:r>
          </w:p>
        </w:tc>
        <w:tc>
          <w:tcPr>
            <w:tcW w:w="1691" w:type="dxa"/>
            <w:tcBorders>
              <w:top w:val="nil"/>
              <w:left w:val="nil"/>
              <w:bottom w:val="single" w:sz="8" w:space="0" w:color="auto"/>
              <w:right w:val="single" w:sz="8" w:space="0" w:color="auto"/>
            </w:tcBorders>
            <w:shd w:val="clear" w:color="auto" w:fill="auto"/>
            <w:noWrap/>
            <w:vAlign w:val="center"/>
            <w:hideMark/>
          </w:tcPr>
          <w:p w14:paraId="502F1AF8" w14:textId="77777777" w:rsidR="00C165F8" w:rsidRPr="00225E67" w:rsidRDefault="00C165F8" w:rsidP="008558ED">
            <w:pPr>
              <w:jc w:val="right"/>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4.658.835</w:t>
            </w:r>
          </w:p>
        </w:tc>
        <w:tc>
          <w:tcPr>
            <w:tcW w:w="1701" w:type="dxa"/>
            <w:tcBorders>
              <w:top w:val="nil"/>
              <w:left w:val="nil"/>
              <w:bottom w:val="single" w:sz="8" w:space="0" w:color="auto"/>
              <w:right w:val="single" w:sz="8" w:space="0" w:color="auto"/>
            </w:tcBorders>
            <w:shd w:val="clear" w:color="auto" w:fill="auto"/>
            <w:noWrap/>
            <w:vAlign w:val="center"/>
            <w:hideMark/>
          </w:tcPr>
          <w:p w14:paraId="3A2A8691" w14:textId="77777777" w:rsidR="00C165F8" w:rsidRPr="00225E67" w:rsidRDefault="00C165F8" w:rsidP="008558ED">
            <w:pPr>
              <w:jc w:val="right"/>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71,44%</w:t>
            </w:r>
          </w:p>
        </w:tc>
      </w:tr>
    </w:tbl>
    <w:p w14:paraId="239D6C41" w14:textId="77777777" w:rsidR="00C165F8" w:rsidRPr="00225E67" w:rsidRDefault="00C165F8" w:rsidP="00C165F8">
      <w:pPr>
        <w:jc w:val="both"/>
        <w:rPr>
          <w:rFonts w:ascii="Tahoma" w:hAnsi="Tahoma" w:cs="Tahoma"/>
          <w:noProof/>
          <w:sz w:val="23"/>
          <w:szCs w:val="23"/>
          <w:lang w:val="sr-Latn-BA"/>
        </w:rPr>
      </w:pPr>
    </w:p>
    <w:p w14:paraId="694ECE48" w14:textId="77777777" w:rsidR="00C165F8" w:rsidRPr="00225E67" w:rsidRDefault="00C165F8" w:rsidP="00C165F8">
      <w:pPr>
        <w:jc w:val="both"/>
        <w:rPr>
          <w:rFonts w:ascii="Tahoma" w:hAnsi="Tahoma" w:cs="Tahoma"/>
          <w:noProof/>
          <w:color w:val="000000"/>
          <w:sz w:val="23"/>
          <w:szCs w:val="23"/>
          <w:lang w:val="sr-Latn-BA" w:eastAsia="sr-Latn-BA"/>
        </w:rPr>
      </w:pPr>
      <w:r w:rsidRPr="00225E67">
        <w:rPr>
          <w:rFonts w:ascii="Tahoma" w:hAnsi="Tahoma" w:cs="Tahoma"/>
          <w:noProof/>
          <w:sz w:val="23"/>
          <w:szCs w:val="23"/>
          <w:lang w:val="sr-Latn-BA"/>
        </w:rPr>
        <w:t>Imajući u vidu da je učešće emitenta Hidroelektrane na Drini a.d.Višegrad 27,87 % u neto vrijednosti imovine fonda kao i da je više od 40% neto vrijednosti imovine fonda uloženo u sektor privrede - Proizvodnja i snabdijevanje el. energijom i gasom, u skladu sa internom klasifikacijom nivoa rizika, rizik koncentracije je visok.</w:t>
      </w:r>
    </w:p>
    <w:p w14:paraId="0F4C83BD" w14:textId="77777777" w:rsidR="00C165F8" w:rsidRPr="00225E67" w:rsidRDefault="00C165F8" w:rsidP="00C165F8">
      <w:pPr>
        <w:jc w:val="both"/>
        <w:rPr>
          <w:rFonts w:ascii="Tahoma" w:hAnsi="Tahoma" w:cs="Tahoma"/>
          <w:b/>
          <w:noProof/>
          <w:sz w:val="23"/>
          <w:szCs w:val="23"/>
          <w:lang w:val="sr-Latn-BA"/>
        </w:rPr>
      </w:pPr>
    </w:p>
    <w:p w14:paraId="0566AC80" w14:textId="77777777" w:rsidR="00C165F8" w:rsidRPr="00225E67" w:rsidRDefault="00C165F8" w:rsidP="00C165F8">
      <w:pPr>
        <w:jc w:val="both"/>
        <w:rPr>
          <w:rFonts w:ascii="Tahoma" w:hAnsi="Tahoma" w:cs="Tahoma"/>
          <w:noProof/>
          <w:sz w:val="23"/>
          <w:szCs w:val="23"/>
          <w:lang w:val="sr-Latn-BA"/>
        </w:rPr>
      </w:pPr>
      <w:r w:rsidRPr="00225E67">
        <w:rPr>
          <w:rFonts w:ascii="Tahoma" w:hAnsi="Tahoma" w:cs="Tahoma"/>
          <w:b/>
          <w:noProof/>
          <w:sz w:val="23"/>
          <w:szCs w:val="23"/>
          <w:lang w:val="sr-Latn-BA"/>
        </w:rPr>
        <w:t>Preporuka:</w:t>
      </w:r>
      <w:r w:rsidRPr="00225E67">
        <w:rPr>
          <w:rFonts w:ascii="Tahoma" w:hAnsi="Tahoma" w:cs="Tahoma"/>
          <w:noProof/>
          <w:sz w:val="23"/>
          <w:szCs w:val="23"/>
          <w:lang w:val="sr-Latn-BA"/>
        </w:rPr>
        <w:t xml:space="preserve"> Prodajom dijela akcija emitenta Hidroelektrane na Drini a.d.Višegrad stiču se uslovi sa smanjivanje rizika koncentracije.</w:t>
      </w:r>
    </w:p>
    <w:p w14:paraId="4EF45EE0" w14:textId="77777777" w:rsidR="00C165F8" w:rsidRPr="00225E67" w:rsidRDefault="00C165F8" w:rsidP="00C165F8">
      <w:pPr>
        <w:jc w:val="both"/>
        <w:rPr>
          <w:rFonts w:ascii="Tahoma" w:hAnsi="Tahoma" w:cs="Tahoma"/>
          <w:b/>
          <w:noProof/>
          <w:sz w:val="23"/>
          <w:szCs w:val="23"/>
          <w:lang w:val="sr-Latn-BA"/>
        </w:rPr>
      </w:pPr>
    </w:p>
    <w:p w14:paraId="0FE88FF2" w14:textId="77777777" w:rsidR="00C165F8" w:rsidRPr="00225E67" w:rsidRDefault="00C165F8" w:rsidP="00C165F8">
      <w:pPr>
        <w:spacing w:after="120"/>
        <w:jc w:val="both"/>
        <w:rPr>
          <w:rFonts w:ascii="Tahoma" w:hAnsi="Tahoma" w:cs="Tahoma"/>
          <w:b/>
          <w:bCs/>
          <w:noProof/>
          <w:sz w:val="23"/>
          <w:szCs w:val="23"/>
          <w:lang w:val="sr-Latn-BA"/>
        </w:rPr>
      </w:pPr>
      <w:r w:rsidRPr="00225E67">
        <w:rPr>
          <w:rFonts w:ascii="Tahoma" w:hAnsi="Tahoma" w:cs="Tahoma"/>
          <w:b/>
          <w:bCs/>
          <w:noProof/>
          <w:sz w:val="23"/>
          <w:szCs w:val="23"/>
          <w:lang w:val="sr-Latn-BA"/>
        </w:rPr>
        <w:t>Rizik otkupa udjela</w:t>
      </w:r>
    </w:p>
    <w:p w14:paraId="67E6DED9" w14:textId="77777777" w:rsidR="00C165F8" w:rsidRPr="00225E67" w:rsidRDefault="00C165F8" w:rsidP="00C165F8">
      <w:pPr>
        <w:spacing w:after="120"/>
        <w:jc w:val="both"/>
        <w:rPr>
          <w:rFonts w:ascii="Tahoma" w:eastAsia="Calibri" w:hAnsi="Tahoma" w:cs="Tahoma"/>
          <w:noProof/>
          <w:sz w:val="23"/>
          <w:szCs w:val="23"/>
          <w:lang w:val="sr-Latn-BA"/>
        </w:rPr>
      </w:pPr>
      <w:r w:rsidRPr="00225E67">
        <w:rPr>
          <w:rFonts w:ascii="Tahoma" w:eastAsia="Calibri" w:hAnsi="Tahoma" w:cs="Tahoma"/>
          <w:noProof/>
          <w:sz w:val="23"/>
          <w:szCs w:val="23"/>
          <w:lang w:val="sr-Latn-BA"/>
        </w:rPr>
        <w:t>Rizik otkupa udjela predstavlja rizik nemogućnosti isplate po osnovu prispjelih zahtjeva za otkup udjela od strane vlasnika udjela. Prilikom izračunavanja rizika otkupa udjela, Društvo procjenjuje vrijednost imovine fondova koju je moguće unovčiti u rokovima od 30,90 i 180 dana.</w:t>
      </w:r>
    </w:p>
    <w:p w14:paraId="1F0023EB" w14:textId="77777777" w:rsidR="00C165F8" w:rsidRPr="00225E67" w:rsidRDefault="00C165F8" w:rsidP="00C165F8">
      <w:pPr>
        <w:spacing w:after="120"/>
        <w:jc w:val="both"/>
        <w:rPr>
          <w:rFonts w:ascii="Tahoma" w:eastAsia="Calibri" w:hAnsi="Tahoma" w:cs="Tahoma"/>
          <w:noProof/>
          <w:sz w:val="23"/>
          <w:szCs w:val="23"/>
          <w:lang w:val="sr-Latn-BA"/>
        </w:rPr>
      </w:pPr>
      <w:r w:rsidRPr="00225E67">
        <w:rPr>
          <w:rFonts w:ascii="Tahoma" w:eastAsia="Calibri" w:hAnsi="Tahoma" w:cs="Tahoma"/>
          <w:noProof/>
          <w:sz w:val="23"/>
          <w:szCs w:val="23"/>
          <w:lang w:val="sr-Latn-BA"/>
        </w:rPr>
        <w:t>Rizik otkupa udjela se može klasifikovati u 3 grupe:</w:t>
      </w:r>
    </w:p>
    <w:p w14:paraId="636EB63A" w14:textId="77777777" w:rsidR="00C165F8" w:rsidRPr="00225E67" w:rsidRDefault="00C165F8" w:rsidP="00C165F8">
      <w:pPr>
        <w:pStyle w:val="ListParagraph"/>
        <w:numPr>
          <w:ilvl w:val="0"/>
          <w:numId w:val="34"/>
        </w:numPr>
        <w:autoSpaceDE w:val="0"/>
        <w:autoSpaceDN w:val="0"/>
        <w:adjustRightInd w:val="0"/>
        <w:jc w:val="both"/>
        <w:rPr>
          <w:rFonts w:ascii="Tahoma" w:hAnsi="Tahoma" w:cs="Tahoma"/>
          <w:noProof/>
          <w:sz w:val="23"/>
          <w:szCs w:val="23"/>
          <w:lang w:val="sr-Latn-BA"/>
        </w:rPr>
      </w:pPr>
      <w:r w:rsidRPr="00225E67">
        <w:rPr>
          <w:rFonts w:ascii="Tahoma" w:hAnsi="Tahoma" w:cs="Tahoma"/>
          <w:noProof/>
          <w:sz w:val="23"/>
          <w:szCs w:val="23"/>
          <w:lang w:val="sr-Latn-BA"/>
        </w:rPr>
        <w:t>Visok nivo rizika -ukoliko je procijenjena vrijednost imovine fonda koju je moguće unovčiti u periodu od 30 dana manja od 40% neto vrijednosti imovine fonda</w:t>
      </w:r>
    </w:p>
    <w:p w14:paraId="2951B054" w14:textId="77777777" w:rsidR="00C165F8" w:rsidRPr="00225E67" w:rsidRDefault="00C165F8" w:rsidP="00C165F8">
      <w:pPr>
        <w:pStyle w:val="ListParagraph"/>
        <w:numPr>
          <w:ilvl w:val="0"/>
          <w:numId w:val="34"/>
        </w:numPr>
        <w:autoSpaceDE w:val="0"/>
        <w:autoSpaceDN w:val="0"/>
        <w:adjustRightInd w:val="0"/>
        <w:jc w:val="both"/>
        <w:rPr>
          <w:rFonts w:ascii="Tahoma" w:hAnsi="Tahoma" w:cs="Tahoma"/>
          <w:noProof/>
          <w:sz w:val="23"/>
          <w:szCs w:val="23"/>
          <w:lang w:val="sr-Latn-BA"/>
        </w:rPr>
      </w:pPr>
      <w:r w:rsidRPr="00225E67">
        <w:rPr>
          <w:rFonts w:ascii="Tahoma" w:hAnsi="Tahoma" w:cs="Tahoma"/>
          <w:noProof/>
          <w:sz w:val="23"/>
          <w:szCs w:val="23"/>
          <w:lang w:val="sr-Latn-BA"/>
        </w:rPr>
        <w:t>Umjeren nivo rizika - ukoliko je procijenjena vrijednost imovine fonda koju je moguće unovčiti u periodu od 30 dana iznosi između 40-60% neto vrijednosti imovine fonda</w:t>
      </w:r>
    </w:p>
    <w:p w14:paraId="3DE65783" w14:textId="77777777" w:rsidR="00C165F8" w:rsidRPr="00225E67" w:rsidRDefault="00C165F8" w:rsidP="00C165F8">
      <w:pPr>
        <w:pStyle w:val="ListParagraph"/>
        <w:numPr>
          <w:ilvl w:val="0"/>
          <w:numId w:val="33"/>
        </w:numPr>
        <w:autoSpaceDE w:val="0"/>
        <w:autoSpaceDN w:val="0"/>
        <w:adjustRightInd w:val="0"/>
        <w:spacing w:after="120"/>
        <w:jc w:val="both"/>
        <w:rPr>
          <w:rFonts w:ascii="Tahoma" w:hAnsi="Tahoma" w:cs="Tahoma"/>
          <w:noProof/>
          <w:sz w:val="23"/>
          <w:szCs w:val="23"/>
          <w:lang w:val="sr-Latn-BA"/>
        </w:rPr>
      </w:pPr>
      <w:r w:rsidRPr="00225E67">
        <w:rPr>
          <w:rFonts w:ascii="Tahoma" w:hAnsi="Tahoma" w:cs="Tahoma"/>
          <w:noProof/>
          <w:sz w:val="23"/>
          <w:szCs w:val="23"/>
          <w:lang w:val="sr-Latn-BA"/>
        </w:rPr>
        <w:t>Nizak nivo rizika - ukoliko je procijenjena vrijednost imovine fonda koju je moguće unovčiti u periodu od 30 dana veća od 60% neto vrijednosti imovine fonda</w:t>
      </w:r>
    </w:p>
    <w:p w14:paraId="48B823FE" w14:textId="77777777" w:rsidR="00C165F8" w:rsidRPr="00225E67" w:rsidRDefault="00C165F8" w:rsidP="00C165F8">
      <w:pPr>
        <w:jc w:val="both"/>
        <w:rPr>
          <w:rFonts w:ascii="Tahoma" w:hAnsi="Tahoma" w:cs="Tahoma"/>
          <w:noProof/>
          <w:sz w:val="23"/>
          <w:szCs w:val="23"/>
          <w:lang w:val="sr-Latn-BA"/>
        </w:rPr>
      </w:pPr>
      <w:r w:rsidRPr="00225E67">
        <w:rPr>
          <w:rFonts w:ascii="Tahoma" w:hAnsi="Tahoma" w:cs="Tahoma"/>
          <w:noProof/>
          <w:sz w:val="23"/>
          <w:szCs w:val="23"/>
          <w:lang w:val="sr-Latn-BA"/>
        </w:rPr>
        <w:t>Procijenjena vrijednost imovine koju je moguće unovčiti u periodu od 30, 90 i 180 dana je prikazana u tabeli br.7:</w:t>
      </w:r>
    </w:p>
    <w:tbl>
      <w:tblPr>
        <w:tblW w:w="9937" w:type="dxa"/>
        <w:tblInd w:w="118" w:type="dxa"/>
        <w:tblLook w:val="04A0" w:firstRow="1" w:lastRow="0" w:firstColumn="1" w:lastColumn="0" w:noHBand="0" w:noVBand="1"/>
      </w:tblPr>
      <w:tblGrid>
        <w:gridCol w:w="4267"/>
        <w:gridCol w:w="1842"/>
        <w:gridCol w:w="1843"/>
        <w:gridCol w:w="1985"/>
      </w:tblGrid>
      <w:tr w:rsidR="00C165F8" w:rsidRPr="00225E67" w14:paraId="3D52CEE8" w14:textId="77777777" w:rsidTr="008558ED">
        <w:trPr>
          <w:trHeight w:val="300"/>
        </w:trPr>
        <w:tc>
          <w:tcPr>
            <w:tcW w:w="4267"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5B499439" w14:textId="77777777" w:rsidR="00C165F8" w:rsidRPr="00225E67" w:rsidRDefault="00C165F8" w:rsidP="008558ED">
            <w:pP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 </w:t>
            </w:r>
          </w:p>
        </w:tc>
        <w:tc>
          <w:tcPr>
            <w:tcW w:w="1842" w:type="dxa"/>
            <w:tcBorders>
              <w:top w:val="single" w:sz="8" w:space="0" w:color="auto"/>
              <w:left w:val="nil"/>
              <w:bottom w:val="single" w:sz="4" w:space="0" w:color="auto"/>
              <w:right w:val="single" w:sz="4" w:space="0" w:color="auto"/>
            </w:tcBorders>
            <w:shd w:val="clear" w:color="auto" w:fill="auto"/>
            <w:noWrap/>
            <w:vAlign w:val="bottom"/>
            <w:hideMark/>
          </w:tcPr>
          <w:p w14:paraId="30C83D74" w14:textId="77777777" w:rsidR="00C165F8" w:rsidRPr="00225E67" w:rsidRDefault="00C165F8" w:rsidP="008558ED">
            <w:pP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Period 30 dana</w:t>
            </w:r>
          </w:p>
        </w:tc>
        <w:tc>
          <w:tcPr>
            <w:tcW w:w="1843" w:type="dxa"/>
            <w:tcBorders>
              <w:top w:val="single" w:sz="8" w:space="0" w:color="auto"/>
              <w:left w:val="nil"/>
              <w:bottom w:val="single" w:sz="4" w:space="0" w:color="auto"/>
              <w:right w:val="single" w:sz="4" w:space="0" w:color="auto"/>
            </w:tcBorders>
            <w:shd w:val="clear" w:color="auto" w:fill="auto"/>
            <w:noWrap/>
            <w:vAlign w:val="bottom"/>
            <w:hideMark/>
          </w:tcPr>
          <w:p w14:paraId="0CEA5074" w14:textId="77777777" w:rsidR="00C165F8" w:rsidRPr="00225E67" w:rsidRDefault="00C165F8" w:rsidP="008558ED">
            <w:pP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Period 90 dana</w:t>
            </w:r>
          </w:p>
        </w:tc>
        <w:tc>
          <w:tcPr>
            <w:tcW w:w="1985" w:type="dxa"/>
            <w:tcBorders>
              <w:top w:val="single" w:sz="8" w:space="0" w:color="auto"/>
              <w:left w:val="nil"/>
              <w:bottom w:val="single" w:sz="4" w:space="0" w:color="auto"/>
              <w:right w:val="single" w:sz="8" w:space="0" w:color="auto"/>
            </w:tcBorders>
            <w:shd w:val="clear" w:color="auto" w:fill="auto"/>
            <w:noWrap/>
            <w:vAlign w:val="bottom"/>
            <w:hideMark/>
          </w:tcPr>
          <w:p w14:paraId="141D264B" w14:textId="77777777" w:rsidR="00C165F8" w:rsidRPr="00225E67" w:rsidRDefault="00C165F8" w:rsidP="008558ED">
            <w:pP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Period 180 dana</w:t>
            </w:r>
          </w:p>
        </w:tc>
      </w:tr>
      <w:tr w:rsidR="00C165F8" w:rsidRPr="00225E67" w14:paraId="180CD611" w14:textId="77777777" w:rsidTr="008558ED">
        <w:trPr>
          <w:trHeight w:val="300"/>
        </w:trPr>
        <w:tc>
          <w:tcPr>
            <w:tcW w:w="4267" w:type="dxa"/>
            <w:tcBorders>
              <w:top w:val="nil"/>
              <w:left w:val="single" w:sz="8" w:space="0" w:color="auto"/>
              <w:bottom w:val="single" w:sz="4" w:space="0" w:color="auto"/>
              <w:right w:val="single" w:sz="4" w:space="0" w:color="auto"/>
            </w:tcBorders>
            <w:shd w:val="clear" w:color="auto" w:fill="auto"/>
            <w:noWrap/>
            <w:vAlign w:val="bottom"/>
            <w:hideMark/>
          </w:tcPr>
          <w:p w14:paraId="2CD874F2" w14:textId="77777777" w:rsidR="00C165F8" w:rsidRPr="00225E67" w:rsidRDefault="00C165F8" w:rsidP="008558ED">
            <w:pPr>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Procijenjena vrijednost likvidne imovine</w:t>
            </w:r>
          </w:p>
        </w:tc>
        <w:tc>
          <w:tcPr>
            <w:tcW w:w="1842" w:type="dxa"/>
            <w:tcBorders>
              <w:top w:val="nil"/>
              <w:left w:val="nil"/>
              <w:bottom w:val="single" w:sz="4" w:space="0" w:color="auto"/>
              <w:right w:val="single" w:sz="4" w:space="0" w:color="auto"/>
            </w:tcBorders>
            <w:shd w:val="clear" w:color="auto" w:fill="auto"/>
            <w:noWrap/>
            <w:vAlign w:val="bottom"/>
            <w:hideMark/>
          </w:tcPr>
          <w:p w14:paraId="070B3984" w14:textId="77777777" w:rsidR="00C165F8" w:rsidRPr="00225E67" w:rsidRDefault="00C165F8" w:rsidP="008558ED">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2.458.726</w:t>
            </w:r>
          </w:p>
        </w:tc>
        <w:tc>
          <w:tcPr>
            <w:tcW w:w="1843" w:type="dxa"/>
            <w:tcBorders>
              <w:top w:val="nil"/>
              <w:left w:val="nil"/>
              <w:bottom w:val="single" w:sz="4" w:space="0" w:color="auto"/>
              <w:right w:val="single" w:sz="4" w:space="0" w:color="auto"/>
            </w:tcBorders>
            <w:shd w:val="clear" w:color="auto" w:fill="auto"/>
            <w:noWrap/>
            <w:vAlign w:val="bottom"/>
            <w:hideMark/>
          </w:tcPr>
          <w:p w14:paraId="54AA2903" w14:textId="77777777" w:rsidR="00C165F8" w:rsidRPr="00225E67" w:rsidRDefault="00C165F8" w:rsidP="008558ED">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2.942.887</w:t>
            </w:r>
          </w:p>
        </w:tc>
        <w:tc>
          <w:tcPr>
            <w:tcW w:w="1985" w:type="dxa"/>
            <w:tcBorders>
              <w:top w:val="nil"/>
              <w:left w:val="nil"/>
              <w:bottom w:val="single" w:sz="4" w:space="0" w:color="auto"/>
              <w:right w:val="single" w:sz="8" w:space="0" w:color="auto"/>
            </w:tcBorders>
            <w:shd w:val="clear" w:color="auto" w:fill="auto"/>
            <w:noWrap/>
            <w:vAlign w:val="bottom"/>
            <w:hideMark/>
          </w:tcPr>
          <w:p w14:paraId="1EF42A70" w14:textId="77777777" w:rsidR="00C165F8" w:rsidRPr="00225E67" w:rsidRDefault="00C165F8" w:rsidP="008558ED">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2.970.613</w:t>
            </w:r>
          </w:p>
        </w:tc>
      </w:tr>
      <w:tr w:rsidR="00C165F8" w:rsidRPr="00225E67" w14:paraId="1EC8390B" w14:textId="77777777" w:rsidTr="008558ED">
        <w:trPr>
          <w:trHeight w:val="300"/>
        </w:trPr>
        <w:tc>
          <w:tcPr>
            <w:tcW w:w="4267" w:type="dxa"/>
            <w:tcBorders>
              <w:top w:val="nil"/>
              <w:left w:val="single" w:sz="8" w:space="0" w:color="auto"/>
              <w:bottom w:val="single" w:sz="4" w:space="0" w:color="auto"/>
              <w:right w:val="single" w:sz="4" w:space="0" w:color="auto"/>
            </w:tcBorders>
            <w:shd w:val="clear" w:color="auto" w:fill="auto"/>
            <w:noWrap/>
            <w:vAlign w:val="bottom"/>
            <w:hideMark/>
          </w:tcPr>
          <w:p w14:paraId="3F7D19AD" w14:textId="77777777" w:rsidR="00C165F8" w:rsidRPr="00225E67" w:rsidRDefault="00C165F8" w:rsidP="008558ED">
            <w:pPr>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Neto imovina fonda</w:t>
            </w:r>
          </w:p>
        </w:tc>
        <w:tc>
          <w:tcPr>
            <w:tcW w:w="1842" w:type="dxa"/>
            <w:tcBorders>
              <w:top w:val="nil"/>
              <w:left w:val="nil"/>
              <w:bottom w:val="single" w:sz="4" w:space="0" w:color="auto"/>
              <w:right w:val="single" w:sz="4" w:space="0" w:color="auto"/>
            </w:tcBorders>
            <w:shd w:val="clear" w:color="auto" w:fill="auto"/>
            <w:noWrap/>
            <w:vAlign w:val="bottom"/>
            <w:hideMark/>
          </w:tcPr>
          <w:p w14:paraId="3D4ED0F9" w14:textId="77777777" w:rsidR="00C165F8" w:rsidRPr="00225E67" w:rsidRDefault="00C165F8" w:rsidP="008558ED">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6.521.329</w:t>
            </w:r>
          </w:p>
        </w:tc>
        <w:tc>
          <w:tcPr>
            <w:tcW w:w="1843" w:type="dxa"/>
            <w:tcBorders>
              <w:top w:val="nil"/>
              <w:left w:val="nil"/>
              <w:bottom w:val="single" w:sz="4" w:space="0" w:color="auto"/>
              <w:right w:val="single" w:sz="4" w:space="0" w:color="auto"/>
            </w:tcBorders>
            <w:shd w:val="clear" w:color="auto" w:fill="auto"/>
            <w:noWrap/>
            <w:vAlign w:val="bottom"/>
            <w:hideMark/>
          </w:tcPr>
          <w:p w14:paraId="13B3B31B" w14:textId="77777777" w:rsidR="00C165F8" w:rsidRPr="00225E67" w:rsidRDefault="00C165F8" w:rsidP="008558ED">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6.521.329</w:t>
            </w:r>
          </w:p>
        </w:tc>
        <w:tc>
          <w:tcPr>
            <w:tcW w:w="1985" w:type="dxa"/>
            <w:tcBorders>
              <w:top w:val="nil"/>
              <w:left w:val="nil"/>
              <w:bottom w:val="single" w:sz="4" w:space="0" w:color="auto"/>
              <w:right w:val="single" w:sz="8" w:space="0" w:color="auto"/>
            </w:tcBorders>
            <w:shd w:val="clear" w:color="auto" w:fill="auto"/>
            <w:noWrap/>
            <w:vAlign w:val="bottom"/>
            <w:hideMark/>
          </w:tcPr>
          <w:p w14:paraId="6FEAD3B2" w14:textId="77777777" w:rsidR="00C165F8" w:rsidRPr="00225E67" w:rsidRDefault="00C165F8" w:rsidP="008558ED">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6.521.329</w:t>
            </w:r>
          </w:p>
        </w:tc>
      </w:tr>
      <w:tr w:rsidR="00C165F8" w:rsidRPr="00225E67" w14:paraId="245E60B1" w14:textId="77777777" w:rsidTr="008558ED">
        <w:trPr>
          <w:trHeight w:val="315"/>
        </w:trPr>
        <w:tc>
          <w:tcPr>
            <w:tcW w:w="4267" w:type="dxa"/>
            <w:tcBorders>
              <w:top w:val="nil"/>
              <w:left w:val="single" w:sz="8" w:space="0" w:color="auto"/>
              <w:bottom w:val="single" w:sz="8" w:space="0" w:color="auto"/>
              <w:right w:val="single" w:sz="4" w:space="0" w:color="auto"/>
            </w:tcBorders>
            <w:shd w:val="clear" w:color="auto" w:fill="auto"/>
            <w:noWrap/>
            <w:vAlign w:val="bottom"/>
            <w:hideMark/>
          </w:tcPr>
          <w:p w14:paraId="02412BB3" w14:textId="77777777" w:rsidR="00C165F8" w:rsidRPr="00225E67" w:rsidRDefault="00C165F8" w:rsidP="008558ED">
            <w:pP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 xml:space="preserve">Procenat likvidnosti </w:t>
            </w:r>
          </w:p>
        </w:tc>
        <w:tc>
          <w:tcPr>
            <w:tcW w:w="1842" w:type="dxa"/>
            <w:tcBorders>
              <w:top w:val="nil"/>
              <w:left w:val="nil"/>
              <w:bottom w:val="single" w:sz="8" w:space="0" w:color="auto"/>
              <w:right w:val="single" w:sz="4" w:space="0" w:color="auto"/>
            </w:tcBorders>
            <w:shd w:val="clear" w:color="auto" w:fill="auto"/>
            <w:noWrap/>
            <w:vAlign w:val="bottom"/>
            <w:hideMark/>
          </w:tcPr>
          <w:p w14:paraId="19361732" w14:textId="77777777" w:rsidR="00C165F8" w:rsidRPr="00225E67" w:rsidRDefault="00C165F8" w:rsidP="008558ED">
            <w:pPr>
              <w:jc w:val="right"/>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37,70%</w:t>
            </w:r>
          </w:p>
        </w:tc>
        <w:tc>
          <w:tcPr>
            <w:tcW w:w="1843" w:type="dxa"/>
            <w:tcBorders>
              <w:top w:val="nil"/>
              <w:left w:val="nil"/>
              <w:bottom w:val="single" w:sz="8" w:space="0" w:color="auto"/>
              <w:right w:val="single" w:sz="4" w:space="0" w:color="auto"/>
            </w:tcBorders>
            <w:shd w:val="clear" w:color="auto" w:fill="auto"/>
            <w:noWrap/>
            <w:vAlign w:val="bottom"/>
            <w:hideMark/>
          </w:tcPr>
          <w:p w14:paraId="4B24903D" w14:textId="77777777" w:rsidR="00C165F8" w:rsidRPr="00225E67" w:rsidRDefault="00C165F8" w:rsidP="008558ED">
            <w:pPr>
              <w:jc w:val="right"/>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45,13%</w:t>
            </w:r>
          </w:p>
        </w:tc>
        <w:tc>
          <w:tcPr>
            <w:tcW w:w="1985" w:type="dxa"/>
            <w:tcBorders>
              <w:top w:val="nil"/>
              <w:left w:val="nil"/>
              <w:bottom w:val="single" w:sz="8" w:space="0" w:color="auto"/>
              <w:right w:val="single" w:sz="4" w:space="0" w:color="auto"/>
            </w:tcBorders>
            <w:shd w:val="clear" w:color="auto" w:fill="auto"/>
            <w:noWrap/>
            <w:vAlign w:val="bottom"/>
            <w:hideMark/>
          </w:tcPr>
          <w:p w14:paraId="54BE520B" w14:textId="77777777" w:rsidR="00C165F8" w:rsidRPr="00225E67" w:rsidRDefault="00C165F8" w:rsidP="008558ED">
            <w:pPr>
              <w:jc w:val="right"/>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45,55%</w:t>
            </w:r>
          </w:p>
        </w:tc>
      </w:tr>
    </w:tbl>
    <w:p w14:paraId="53B020F8" w14:textId="77777777" w:rsidR="00C165F8" w:rsidRPr="00225E67" w:rsidRDefault="00C165F8" w:rsidP="00C165F8">
      <w:pPr>
        <w:jc w:val="both"/>
        <w:rPr>
          <w:rFonts w:ascii="Tahoma" w:hAnsi="Tahoma" w:cs="Tahoma"/>
          <w:noProof/>
          <w:sz w:val="23"/>
          <w:szCs w:val="23"/>
          <w:lang w:val="sr-Latn-BA"/>
        </w:rPr>
      </w:pPr>
    </w:p>
    <w:p w14:paraId="26EDAC8D" w14:textId="77777777" w:rsidR="00C165F8" w:rsidRPr="00225E67" w:rsidRDefault="00C165F8" w:rsidP="00C165F8">
      <w:pPr>
        <w:jc w:val="both"/>
        <w:rPr>
          <w:rFonts w:ascii="Tahoma" w:hAnsi="Tahoma" w:cs="Tahoma"/>
          <w:noProof/>
          <w:sz w:val="23"/>
          <w:szCs w:val="23"/>
          <w:lang w:val="sr-Latn-BA"/>
        </w:rPr>
      </w:pPr>
      <w:r w:rsidRPr="00225E67">
        <w:rPr>
          <w:rFonts w:ascii="Tahoma" w:hAnsi="Tahoma" w:cs="Tahoma"/>
          <w:noProof/>
          <w:sz w:val="23"/>
          <w:szCs w:val="23"/>
          <w:lang w:val="sr-Latn-BA"/>
        </w:rPr>
        <w:t>U skladu sa internim klasifikacijom nivoa rizika, rizik otkupa udjela je visok.</w:t>
      </w:r>
    </w:p>
    <w:p w14:paraId="07016AA1" w14:textId="77777777" w:rsidR="00C165F8" w:rsidRPr="00225E67" w:rsidRDefault="00C165F8" w:rsidP="00C165F8">
      <w:pPr>
        <w:autoSpaceDE w:val="0"/>
        <w:autoSpaceDN w:val="0"/>
        <w:adjustRightInd w:val="0"/>
        <w:jc w:val="both"/>
        <w:rPr>
          <w:rFonts w:ascii="Tahoma" w:hAnsi="Tahoma" w:cs="Tahoma"/>
          <w:bCs/>
          <w:noProof/>
          <w:sz w:val="23"/>
          <w:szCs w:val="23"/>
          <w:lang w:val="sr-Latn-BA"/>
        </w:rPr>
      </w:pPr>
      <w:bookmarkStart w:id="11" w:name="_Hlk116990027"/>
      <w:r w:rsidRPr="00225E67">
        <w:rPr>
          <w:rFonts w:ascii="Tahoma" w:hAnsi="Tahoma" w:cs="Tahoma"/>
          <w:b/>
          <w:noProof/>
          <w:sz w:val="23"/>
          <w:szCs w:val="23"/>
          <w:lang w:val="sr-Latn-BA"/>
        </w:rPr>
        <w:t xml:space="preserve">Preporuka: </w:t>
      </w:r>
      <w:r w:rsidRPr="00225E67">
        <w:rPr>
          <w:rFonts w:ascii="Tahoma" w:hAnsi="Tahoma" w:cs="Tahoma"/>
          <w:bCs/>
          <w:noProof/>
          <w:sz w:val="23"/>
          <w:szCs w:val="23"/>
          <w:lang w:val="sr-Latn-BA"/>
        </w:rPr>
        <w:t>U cilju smanjivanja rizika otkupa udjela, potrebno je intenzivirati prodaju nelikvidnih HOV iz portfelja Fonda čime bi se smanjio rizik vezan za otkup udjela.</w:t>
      </w:r>
    </w:p>
    <w:p w14:paraId="5C6447F3" w14:textId="77777777" w:rsidR="00C165F8" w:rsidRPr="00225E67" w:rsidRDefault="00C165F8" w:rsidP="00C165F8">
      <w:pPr>
        <w:autoSpaceDE w:val="0"/>
        <w:autoSpaceDN w:val="0"/>
        <w:adjustRightInd w:val="0"/>
        <w:jc w:val="both"/>
        <w:rPr>
          <w:rFonts w:ascii="Tahoma" w:hAnsi="Tahoma" w:cs="Tahoma"/>
          <w:bCs/>
          <w:noProof/>
          <w:sz w:val="23"/>
          <w:szCs w:val="23"/>
          <w:lang w:val="sr-Latn-BA"/>
        </w:rPr>
      </w:pPr>
      <w:r w:rsidRPr="00225E67">
        <w:rPr>
          <w:rFonts w:ascii="Tahoma" w:hAnsi="Tahoma" w:cs="Tahoma"/>
          <w:bCs/>
          <w:noProof/>
          <w:sz w:val="23"/>
          <w:szCs w:val="23"/>
          <w:lang w:val="sr-Latn-BA"/>
        </w:rPr>
        <w:t>.</w:t>
      </w:r>
    </w:p>
    <w:bookmarkEnd w:id="11"/>
    <w:p w14:paraId="0E292E97" w14:textId="77777777" w:rsidR="00C165F8" w:rsidRPr="00225E67" w:rsidRDefault="00C165F8" w:rsidP="00C165F8">
      <w:pPr>
        <w:jc w:val="both"/>
        <w:rPr>
          <w:rFonts w:ascii="Tahoma" w:hAnsi="Tahoma" w:cs="Tahoma"/>
          <w:b/>
          <w:bCs/>
          <w:noProof/>
          <w:sz w:val="23"/>
          <w:szCs w:val="23"/>
          <w:lang w:val="sr-Latn-BA"/>
        </w:rPr>
      </w:pPr>
      <w:r w:rsidRPr="00225E67">
        <w:rPr>
          <w:rFonts w:ascii="Tahoma" w:hAnsi="Tahoma" w:cs="Tahoma"/>
          <w:b/>
          <w:bCs/>
          <w:noProof/>
          <w:sz w:val="23"/>
          <w:szCs w:val="23"/>
          <w:lang w:val="sr-Latn-BA"/>
        </w:rPr>
        <w:t>Ostali rizici</w:t>
      </w:r>
    </w:p>
    <w:p w14:paraId="5CED0D41" w14:textId="77777777" w:rsidR="00C165F8" w:rsidRPr="00225E67" w:rsidRDefault="00C165F8" w:rsidP="00C165F8">
      <w:pPr>
        <w:jc w:val="both"/>
        <w:rPr>
          <w:rFonts w:ascii="Tahoma" w:hAnsi="Tahoma" w:cs="Tahoma"/>
          <w:b/>
          <w:bCs/>
          <w:noProof/>
          <w:sz w:val="23"/>
          <w:szCs w:val="23"/>
          <w:lang w:val="sr-Latn-BA"/>
        </w:rPr>
      </w:pPr>
    </w:p>
    <w:p w14:paraId="0D224B83" w14:textId="77777777" w:rsidR="00C165F8" w:rsidRPr="00225E67" w:rsidRDefault="00C165F8" w:rsidP="00C165F8">
      <w:pPr>
        <w:jc w:val="both"/>
        <w:rPr>
          <w:rFonts w:ascii="Tahoma" w:hAnsi="Tahoma" w:cs="Tahoma"/>
          <w:i/>
          <w:iCs/>
          <w:noProof/>
          <w:sz w:val="23"/>
          <w:szCs w:val="23"/>
          <w:lang w:val="sr-Latn-BA"/>
        </w:rPr>
      </w:pPr>
      <w:r w:rsidRPr="00225E67">
        <w:rPr>
          <w:rFonts w:ascii="Tahoma" w:hAnsi="Tahoma" w:cs="Tahoma"/>
          <w:i/>
          <w:iCs/>
          <w:noProof/>
          <w:sz w:val="23"/>
          <w:szCs w:val="23"/>
          <w:lang w:val="sr-Latn-BA"/>
        </w:rPr>
        <w:t>Fond se u poslovanju susreće i sa sljedećim vrstama rizika:</w:t>
      </w:r>
    </w:p>
    <w:p w14:paraId="77B78C58" w14:textId="77777777" w:rsidR="00C165F8" w:rsidRPr="00225E67" w:rsidRDefault="00C165F8" w:rsidP="00C165F8">
      <w:pPr>
        <w:jc w:val="both"/>
        <w:rPr>
          <w:rFonts w:ascii="Tahoma" w:hAnsi="Tahoma" w:cs="Tahoma"/>
          <w:i/>
          <w:iCs/>
          <w:noProof/>
          <w:sz w:val="23"/>
          <w:szCs w:val="23"/>
          <w:lang w:val="sr-Latn-BA"/>
        </w:rPr>
      </w:pPr>
      <w:r w:rsidRPr="00225E67">
        <w:rPr>
          <w:rFonts w:ascii="Tahoma" w:hAnsi="Tahoma" w:cs="Tahoma"/>
          <w:i/>
          <w:iCs/>
          <w:noProof/>
          <w:sz w:val="23"/>
          <w:szCs w:val="23"/>
          <w:lang w:val="sr-Latn-BA"/>
        </w:rPr>
        <w:lastRenderedPageBreak/>
        <w:t>•</w:t>
      </w:r>
      <w:r w:rsidRPr="00225E67">
        <w:rPr>
          <w:rFonts w:ascii="Tahoma" w:hAnsi="Tahoma" w:cs="Tahoma"/>
          <w:i/>
          <w:iCs/>
          <w:noProof/>
          <w:sz w:val="23"/>
          <w:szCs w:val="23"/>
          <w:lang w:val="sr-Latn-BA"/>
        </w:rPr>
        <w:tab/>
        <w:t>Rizik inflacije</w:t>
      </w:r>
    </w:p>
    <w:p w14:paraId="57900F2B" w14:textId="77777777" w:rsidR="00C165F8" w:rsidRPr="00225E67" w:rsidRDefault="00C165F8" w:rsidP="00C165F8">
      <w:pPr>
        <w:jc w:val="both"/>
        <w:rPr>
          <w:rFonts w:ascii="Tahoma" w:hAnsi="Tahoma" w:cs="Tahoma"/>
          <w:i/>
          <w:iCs/>
          <w:noProof/>
          <w:sz w:val="23"/>
          <w:szCs w:val="23"/>
          <w:lang w:val="sr-Latn-BA"/>
        </w:rPr>
      </w:pPr>
      <w:r w:rsidRPr="00225E67">
        <w:rPr>
          <w:rFonts w:ascii="Tahoma" w:hAnsi="Tahoma" w:cs="Tahoma"/>
          <w:i/>
          <w:iCs/>
          <w:noProof/>
          <w:sz w:val="23"/>
          <w:szCs w:val="23"/>
          <w:lang w:val="sr-Latn-BA"/>
        </w:rPr>
        <w:t>•</w:t>
      </w:r>
      <w:r w:rsidRPr="00225E67">
        <w:rPr>
          <w:rFonts w:ascii="Tahoma" w:hAnsi="Tahoma" w:cs="Tahoma"/>
          <w:i/>
          <w:iCs/>
          <w:noProof/>
          <w:sz w:val="23"/>
          <w:szCs w:val="23"/>
          <w:lang w:val="sr-Latn-BA"/>
        </w:rPr>
        <w:tab/>
        <w:t>Rizik reinvestiranja</w:t>
      </w:r>
    </w:p>
    <w:p w14:paraId="4CA2C08F" w14:textId="77777777" w:rsidR="00C165F8" w:rsidRPr="00225E67" w:rsidRDefault="00C165F8" w:rsidP="00C165F8">
      <w:pPr>
        <w:jc w:val="both"/>
        <w:rPr>
          <w:rFonts w:ascii="Tahoma" w:hAnsi="Tahoma" w:cs="Tahoma"/>
          <w:i/>
          <w:iCs/>
          <w:noProof/>
          <w:sz w:val="23"/>
          <w:szCs w:val="23"/>
          <w:lang w:val="sr-Latn-BA"/>
        </w:rPr>
      </w:pPr>
      <w:r w:rsidRPr="00225E67">
        <w:rPr>
          <w:rFonts w:ascii="Tahoma" w:hAnsi="Tahoma" w:cs="Tahoma"/>
          <w:i/>
          <w:iCs/>
          <w:noProof/>
          <w:sz w:val="23"/>
          <w:szCs w:val="23"/>
          <w:lang w:val="sr-Latn-BA"/>
        </w:rPr>
        <w:t>•</w:t>
      </w:r>
      <w:r w:rsidRPr="00225E67">
        <w:rPr>
          <w:rFonts w:ascii="Tahoma" w:hAnsi="Tahoma" w:cs="Tahoma"/>
          <w:i/>
          <w:iCs/>
          <w:noProof/>
          <w:sz w:val="23"/>
          <w:szCs w:val="23"/>
          <w:lang w:val="sr-Latn-BA"/>
        </w:rPr>
        <w:tab/>
        <w:t>Rizik banke depozitara, poslovne banke i kastodi banke</w:t>
      </w:r>
    </w:p>
    <w:p w14:paraId="1AC202EC" w14:textId="77777777" w:rsidR="00C165F8" w:rsidRPr="00225E67" w:rsidRDefault="00C165F8" w:rsidP="00C165F8">
      <w:pPr>
        <w:jc w:val="both"/>
        <w:rPr>
          <w:rFonts w:ascii="Tahoma" w:hAnsi="Tahoma" w:cs="Tahoma"/>
          <w:i/>
          <w:iCs/>
          <w:noProof/>
          <w:sz w:val="23"/>
          <w:szCs w:val="23"/>
          <w:lang w:val="sr-Latn-BA"/>
        </w:rPr>
      </w:pPr>
      <w:r w:rsidRPr="00225E67">
        <w:rPr>
          <w:rFonts w:ascii="Tahoma" w:hAnsi="Tahoma" w:cs="Tahoma"/>
          <w:i/>
          <w:iCs/>
          <w:noProof/>
          <w:sz w:val="23"/>
          <w:szCs w:val="23"/>
          <w:lang w:val="sr-Latn-BA"/>
        </w:rPr>
        <w:t>•</w:t>
      </w:r>
      <w:r w:rsidRPr="00225E67">
        <w:rPr>
          <w:rFonts w:ascii="Tahoma" w:hAnsi="Tahoma" w:cs="Tahoma"/>
          <w:i/>
          <w:iCs/>
          <w:noProof/>
          <w:sz w:val="23"/>
          <w:szCs w:val="23"/>
          <w:lang w:val="sr-Latn-BA"/>
        </w:rPr>
        <w:tab/>
        <w:t>Rizik promjene poreskih propisa</w:t>
      </w:r>
    </w:p>
    <w:p w14:paraId="1FF6CA77" w14:textId="77777777" w:rsidR="00C165F8" w:rsidRPr="00225E67" w:rsidRDefault="00C165F8" w:rsidP="00C165F8">
      <w:pPr>
        <w:jc w:val="both"/>
        <w:rPr>
          <w:rFonts w:ascii="Tahoma" w:hAnsi="Tahoma" w:cs="Tahoma"/>
          <w:i/>
          <w:iCs/>
          <w:noProof/>
          <w:sz w:val="23"/>
          <w:szCs w:val="23"/>
          <w:lang w:val="sr-Latn-BA"/>
        </w:rPr>
      </w:pPr>
      <w:r w:rsidRPr="00225E67">
        <w:rPr>
          <w:rFonts w:ascii="Tahoma" w:hAnsi="Tahoma" w:cs="Tahoma"/>
          <w:i/>
          <w:iCs/>
          <w:noProof/>
          <w:sz w:val="23"/>
          <w:szCs w:val="23"/>
          <w:lang w:val="sr-Latn-BA"/>
        </w:rPr>
        <w:t>•</w:t>
      </w:r>
      <w:r w:rsidRPr="00225E67">
        <w:rPr>
          <w:rFonts w:ascii="Tahoma" w:hAnsi="Tahoma" w:cs="Tahoma"/>
          <w:i/>
          <w:iCs/>
          <w:noProof/>
          <w:sz w:val="23"/>
          <w:szCs w:val="23"/>
          <w:lang w:val="sr-Latn-BA"/>
        </w:rPr>
        <w:tab/>
        <w:t>Politički i regulatorni rizik</w:t>
      </w:r>
    </w:p>
    <w:p w14:paraId="59C1E995" w14:textId="77777777" w:rsidR="00C165F8" w:rsidRPr="00225E67" w:rsidRDefault="00C165F8" w:rsidP="00C165F8">
      <w:pPr>
        <w:jc w:val="both"/>
        <w:rPr>
          <w:rFonts w:ascii="Tahoma" w:hAnsi="Tahoma" w:cs="Tahoma"/>
          <w:i/>
          <w:iCs/>
          <w:noProof/>
          <w:sz w:val="23"/>
          <w:szCs w:val="23"/>
          <w:lang w:val="sr-Latn-BA"/>
        </w:rPr>
      </w:pPr>
      <w:r w:rsidRPr="00225E67">
        <w:rPr>
          <w:rFonts w:ascii="Tahoma" w:hAnsi="Tahoma" w:cs="Tahoma"/>
          <w:i/>
          <w:iCs/>
          <w:noProof/>
          <w:sz w:val="23"/>
          <w:szCs w:val="23"/>
          <w:lang w:val="sr-Latn-BA"/>
        </w:rPr>
        <w:t>•</w:t>
      </w:r>
      <w:r w:rsidRPr="00225E67">
        <w:rPr>
          <w:rFonts w:ascii="Tahoma" w:hAnsi="Tahoma" w:cs="Tahoma"/>
          <w:i/>
          <w:iCs/>
          <w:noProof/>
          <w:sz w:val="23"/>
          <w:szCs w:val="23"/>
          <w:lang w:val="sr-Latn-BA"/>
        </w:rPr>
        <w:tab/>
        <w:t>Rizik promjene pozitivnih propisa</w:t>
      </w:r>
    </w:p>
    <w:p w14:paraId="7F2AD55D" w14:textId="77777777" w:rsidR="00C165F8" w:rsidRPr="00225E67" w:rsidRDefault="00C165F8" w:rsidP="00C165F8">
      <w:pPr>
        <w:jc w:val="both"/>
        <w:rPr>
          <w:rFonts w:ascii="Tahoma" w:hAnsi="Tahoma" w:cs="Tahoma"/>
          <w:i/>
          <w:iCs/>
          <w:noProof/>
          <w:sz w:val="23"/>
          <w:szCs w:val="23"/>
          <w:lang w:val="sr-Latn-BA"/>
        </w:rPr>
      </w:pPr>
      <w:r w:rsidRPr="00225E67">
        <w:rPr>
          <w:rFonts w:ascii="Tahoma" w:hAnsi="Tahoma" w:cs="Tahoma"/>
          <w:i/>
          <w:iCs/>
          <w:noProof/>
          <w:sz w:val="23"/>
          <w:szCs w:val="23"/>
          <w:lang w:val="sr-Latn-BA"/>
        </w:rPr>
        <w:t>Navedene vrste rizika nisu mjerljive i biće obrađene u polugodišnjem izvještaju o rizicima fonda za 2024. godinu.</w:t>
      </w:r>
    </w:p>
    <w:p w14:paraId="294841A1" w14:textId="77777777" w:rsidR="00C165F8" w:rsidRPr="001707CF" w:rsidRDefault="00C165F8" w:rsidP="00C165F8">
      <w:pPr>
        <w:jc w:val="both"/>
        <w:rPr>
          <w:rFonts w:ascii="Tahoma" w:eastAsia="Calibri" w:hAnsi="Tahoma" w:cs="Tahoma"/>
          <w:sz w:val="23"/>
          <w:szCs w:val="23"/>
        </w:rPr>
      </w:pPr>
    </w:p>
    <w:bookmarkEnd w:id="9"/>
    <w:p w14:paraId="540A863E" w14:textId="77777777" w:rsidR="00C165F8" w:rsidRPr="001707CF" w:rsidRDefault="00C165F8" w:rsidP="00C165F8">
      <w:pPr>
        <w:jc w:val="both"/>
        <w:rPr>
          <w:rFonts w:ascii="Tahoma" w:hAnsi="Tahoma" w:cs="Tahoma"/>
          <w:sz w:val="23"/>
          <w:szCs w:val="23"/>
        </w:rPr>
      </w:pPr>
    </w:p>
    <w:p w14:paraId="32CCE0AD" w14:textId="77777777" w:rsidR="00C165F8" w:rsidRPr="001707CF" w:rsidRDefault="00C165F8" w:rsidP="00C165F8">
      <w:pPr>
        <w:numPr>
          <w:ilvl w:val="0"/>
          <w:numId w:val="22"/>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DOGAĐAJI NAKON DATUMA IZVJEŠTAVANJA</w:t>
      </w:r>
    </w:p>
    <w:p w14:paraId="78D412C1" w14:textId="77777777" w:rsidR="00C165F8" w:rsidRPr="001707CF" w:rsidRDefault="00C165F8" w:rsidP="00C165F8">
      <w:pPr>
        <w:spacing w:after="120"/>
        <w:jc w:val="both"/>
        <w:rPr>
          <w:rFonts w:ascii="Tahoma" w:hAnsi="Tahoma" w:cs="Tahoma"/>
          <w:sz w:val="23"/>
          <w:szCs w:val="23"/>
          <w:lang w:val="sr-Latn-BA"/>
        </w:rPr>
      </w:pPr>
      <w:proofErr w:type="spellStart"/>
      <w:r w:rsidRPr="001707CF">
        <w:rPr>
          <w:rFonts w:ascii="Tahoma" w:hAnsi="Tahoma" w:cs="Tahoma"/>
          <w:sz w:val="23"/>
          <w:szCs w:val="23"/>
        </w:rPr>
        <w:t>Nije</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bilo</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materijalno</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značajnih</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događaja</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nakon</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datuma</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finansijskih</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izvještaja</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koji</w:t>
      </w:r>
      <w:proofErr w:type="spellEnd"/>
      <w:r w:rsidRPr="001707CF">
        <w:rPr>
          <w:rFonts w:ascii="Tahoma" w:hAnsi="Tahoma" w:cs="Tahoma"/>
          <w:sz w:val="23"/>
          <w:szCs w:val="23"/>
        </w:rPr>
        <w:t xml:space="preserve"> bi </w:t>
      </w:r>
      <w:proofErr w:type="spellStart"/>
      <w:r w:rsidRPr="001707CF">
        <w:rPr>
          <w:rFonts w:ascii="Tahoma" w:hAnsi="Tahoma" w:cs="Tahoma"/>
          <w:sz w:val="23"/>
          <w:szCs w:val="23"/>
        </w:rPr>
        <w:t>mogli</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imati</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uticaja</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na</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fer</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prezentaciju</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priloženih</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finansijskih</w:t>
      </w:r>
      <w:proofErr w:type="spellEnd"/>
      <w:r w:rsidRPr="001707CF">
        <w:rPr>
          <w:rFonts w:ascii="Tahoma" w:hAnsi="Tahoma" w:cs="Tahoma"/>
          <w:sz w:val="23"/>
          <w:szCs w:val="23"/>
        </w:rPr>
        <w:t xml:space="preserve"> </w:t>
      </w:r>
      <w:proofErr w:type="spellStart"/>
      <w:r w:rsidRPr="001707CF">
        <w:rPr>
          <w:rFonts w:ascii="Tahoma" w:hAnsi="Tahoma" w:cs="Tahoma"/>
          <w:sz w:val="23"/>
          <w:szCs w:val="23"/>
        </w:rPr>
        <w:t>izveštaja</w:t>
      </w:r>
      <w:proofErr w:type="spellEnd"/>
      <w:r w:rsidRPr="001707CF">
        <w:rPr>
          <w:rFonts w:ascii="Tahoma" w:hAnsi="Tahoma" w:cs="Tahoma"/>
          <w:sz w:val="23"/>
          <w:szCs w:val="23"/>
        </w:rPr>
        <w:t>.</w:t>
      </w:r>
    </w:p>
    <w:p w14:paraId="6058518A" w14:textId="7AE06202" w:rsidR="00682E3D" w:rsidRPr="006424B3" w:rsidRDefault="00682E3D" w:rsidP="00C165F8">
      <w:pPr>
        <w:pStyle w:val="Heading1"/>
        <w:numPr>
          <w:ilvl w:val="0"/>
          <w:numId w:val="15"/>
        </w:numPr>
        <w:rPr>
          <w:rFonts w:ascii="Cambria" w:hAnsi="Cambria"/>
          <w:noProof/>
          <w:sz w:val="22"/>
          <w:szCs w:val="22"/>
          <w:lang w:val="sr-Latn-BA"/>
        </w:rPr>
      </w:pPr>
      <w:r w:rsidRPr="006424B3">
        <w:rPr>
          <w:rFonts w:ascii="Cambria" w:hAnsi="Cambria"/>
          <w:noProof/>
          <w:sz w:val="22"/>
          <w:szCs w:val="22"/>
          <w:lang w:val="sr-Latn-BA"/>
        </w:rPr>
        <w:t xml:space="preserve"> Banja Luka, </w:t>
      </w:r>
      <w:r w:rsidR="00AE7795">
        <w:rPr>
          <w:rFonts w:ascii="Cambria" w:hAnsi="Cambria"/>
          <w:noProof/>
          <w:sz w:val="22"/>
          <w:szCs w:val="22"/>
          <w:lang w:val="sr-Latn-BA"/>
        </w:rPr>
        <w:t>Februar</w:t>
      </w:r>
      <w:r w:rsidRPr="006424B3">
        <w:rPr>
          <w:rFonts w:ascii="Cambria" w:hAnsi="Cambria"/>
          <w:noProof/>
          <w:sz w:val="22"/>
          <w:szCs w:val="22"/>
          <w:lang w:val="sr-Latn-BA"/>
        </w:rPr>
        <w:t xml:space="preserve">  202</w:t>
      </w:r>
      <w:r w:rsidR="005F1BC4">
        <w:rPr>
          <w:rFonts w:ascii="Cambria" w:hAnsi="Cambria"/>
          <w:noProof/>
          <w:sz w:val="22"/>
          <w:szCs w:val="22"/>
          <w:lang w:val="sr-Latn-BA"/>
        </w:rPr>
        <w:t>4</w:t>
      </w:r>
      <w:r w:rsidRPr="006424B3">
        <w:rPr>
          <w:rFonts w:ascii="Cambria" w:hAnsi="Cambria"/>
          <w:noProof/>
          <w:sz w:val="22"/>
          <w:szCs w:val="22"/>
          <w:lang w:val="sr-Latn-BA"/>
        </w:rPr>
        <w:t>. godine</w:t>
      </w:r>
    </w:p>
    <w:p w14:paraId="0FC64488" w14:textId="77777777" w:rsidR="00112EBD" w:rsidRPr="006424B3" w:rsidRDefault="00112EBD" w:rsidP="00682E3D">
      <w:pPr>
        <w:jc w:val="both"/>
        <w:rPr>
          <w:rFonts w:ascii="Cambria" w:eastAsia="Calibri" w:hAnsi="Cambria"/>
          <w:noProof/>
          <w:sz w:val="22"/>
          <w:szCs w:val="22"/>
          <w:lang w:val="sr-Latn-BA"/>
        </w:rPr>
      </w:pPr>
    </w:p>
    <w:p w14:paraId="373CF246" w14:textId="77777777" w:rsidR="00682E3D" w:rsidRPr="006424B3" w:rsidRDefault="00682E3D" w:rsidP="00682E3D">
      <w:pPr>
        <w:pStyle w:val="BodyText"/>
        <w:spacing w:after="0"/>
        <w:rPr>
          <w:rFonts w:ascii="Cambria" w:hAnsi="Cambria"/>
          <w:noProof/>
          <w:sz w:val="22"/>
          <w:szCs w:val="22"/>
          <w:lang w:val="sr-Latn-BA"/>
        </w:rPr>
      </w:pPr>
      <w:r w:rsidRPr="006424B3">
        <w:rPr>
          <w:rFonts w:ascii="Cambria" w:hAnsi="Cambria"/>
          <w:noProof/>
          <w:sz w:val="22"/>
          <w:szCs w:val="22"/>
          <w:lang w:val="sr-Latn-BA"/>
        </w:rPr>
        <w:t xml:space="preserve">Lice odgovorno za sastavljanje nota:  </w:t>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t xml:space="preserve">Izvršni direktori: </w:t>
      </w:r>
    </w:p>
    <w:p w14:paraId="38274AC9" w14:textId="77777777" w:rsidR="00682E3D" w:rsidRPr="006424B3" w:rsidRDefault="00682E3D" w:rsidP="00682E3D">
      <w:pPr>
        <w:pStyle w:val="BodyText"/>
        <w:spacing w:after="0"/>
        <w:rPr>
          <w:rFonts w:ascii="Cambria" w:hAnsi="Cambria"/>
          <w:noProof/>
          <w:sz w:val="22"/>
          <w:szCs w:val="22"/>
          <w:lang w:val="sr-Latn-BA"/>
        </w:rPr>
      </w:pPr>
    </w:p>
    <w:p w14:paraId="566CD550" w14:textId="77777777" w:rsidR="00682E3D" w:rsidRPr="006424B3" w:rsidRDefault="00682E3D" w:rsidP="00682E3D">
      <w:pPr>
        <w:pStyle w:val="BodyText"/>
        <w:spacing w:after="0"/>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t xml:space="preserve"> --------------------------------  </w:t>
      </w:r>
    </w:p>
    <w:p w14:paraId="2840452A" w14:textId="19600DF7" w:rsidR="00682E3D" w:rsidRPr="006424B3" w:rsidRDefault="00AE7795" w:rsidP="00682E3D">
      <w:pPr>
        <w:pStyle w:val="BodyText"/>
        <w:spacing w:after="0"/>
        <w:rPr>
          <w:rFonts w:ascii="Cambria" w:hAnsi="Cambria"/>
          <w:noProof/>
          <w:sz w:val="22"/>
          <w:szCs w:val="22"/>
          <w:lang w:val="sr-Latn-BA"/>
        </w:rPr>
      </w:pPr>
      <w:r>
        <w:rPr>
          <w:rFonts w:ascii="Cambria" w:hAnsi="Cambria"/>
          <w:noProof/>
          <w:sz w:val="22"/>
          <w:szCs w:val="22"/>
          <w:lang w:val="sr-Latn-BA"/>
        </w:rPr>
        <w:t>Maja Branković</w:t>
      </w:r>
      <w:r w:rsidR="00682E3D" w:rsidRPr="006424B3">
        <w:rPr>
          <w:rFonts w:ascii="Cambria" w:hAnsi="Cambria"/>
          <w:noProof/>
          <w:sz w:val="22"/>
          <w:szCs w:val="22"/>
          <w:lang w:val="sr-Latn-BA"/>
        </w:rPr>
        <w:t xml:space="preserve">  </w:t>
      </w:r>
      <w:r w:rsidR="00682E3D" w:rsidRPr="006424B3">
        <w:rPr>
          <w:rFonts w:ascii="Cambria" w:hAnsi="Cambria"/>
          <w:noProof/>
          <w:sz w:val="22"/>
          <w:szCs w:val="22"/>
          <w:lang w:val="sr-Latn-BA"/>
        </w:rPr>
        <w:tab/>
      </w:r>
      <w:r w:rsidR="00682E3D" w:rsidRPr="006424B3">
        <w:rPr>
          <w:rFonts w:ascii="Cambria" w:hAnsi="Cambria"/>
          <w:noProof/>
          <w:sz w:val="22"/>
          <w:szCs w:val="22"/>
          <w:lang w:val="sr-Latn-BA"/>
        </w:rPr>
        <w:tab/>
      </w:r>
      <w:r w:rsidR="00682E3D" w:rsidRPr="006424B3">
        <w:rPr>
          <w:rFonts w:ascii="Cambria" w:hAnsi="Cambria"/>
          <w:noProof/>
          <w:sz w:val="22"/>
          <w:szCs w:val="22"/>
          <w:lang w:val="sr-Latn-BA"/>
        </w:rPr>
        <w:tab/>
      </w:r>
      <w:r w:rsidR="00682E3D" w:rsidRPr="006424B3">
        <w:rPr>
          <w:rFonts w:ascii="Cambria" w:hAnsi="Cambria"/>
          <w:noProof/>
          <w:sz w:val="22"/>
          <w:szCs w:val="22"/>
          <w:lang w:val="sr-Latn-BA"/>
        </w:rPr>
        <w:tab/>
      </w:r>
      <w:r w:rsidR="00682E3D" w:rsidRPr="006424B3">
        <w:rPr>
          <w:rFonts w:ascii="Cambria" w:hAnsi="Cambria"/>
          <w:noProof/>
          <w:sz w:val="22"/>
          <w:szCs w:val="22"/>
          <w:lang w:val="sr-Latn-BA"/>
        </w:rPr>
        <w:tab/>
      </w:r>
      <w:r w:rsidR="00682E3D" w:rsidRPr="006424B3">
        <w:rPr>
          <w:rFonts w:ascii="Cambria" w:hAnsi="Cambria"/>
          <w:noProof/>
          <w:sz w:val="22"/>
          <w:szCs w:val="22"/>
          <w:lang w:val="sr-Latn-BA"/>
        </w:rPr>
        <w:tab/>
      </w:r>
      <w:r w:rsidR="00682E3D" w:rsidRPr="006424B3">
        <w:rPr>
          <w:rFonts w:ascii="Cambria" w:hAnsi="Cambria"/>
          <w:noProof/>
          <w:sz w:val="22"/>
          <w:szCs w:val="22"/>
          <w:lang w:val="sr-Latn-BA"/>
        </w:rPr>
        <w:tab/>
      </w:r>
      <w:r w:rsidR="00682E3D" w:rsidRPr="006424B3">
        <w:rPr>
          <w:rFonts w:ascii="Cambria" w:hAnsi="Cambria"/>
          <w:noProof/>
          <w:sz w:val="22"/>
          <w:szCs w:val="22"/>
          <w:lang w:val="sr-Latn-BA"/>
        </w:rPr>
        <w:tab/>
        <w:t xml:space="preserve">  Pero Jandrić</w:t>
      </w:r>
    </w:p>
    <w:p w14:paraId="44AA33B3" w14:textId="5AA32FD3" w:rsidR="00682E3D" w:rsidRPr="006424B3" w:rsidRDefault="00682E3D" w:rsidP="00682E3D">
      <w:pPr>
        <w:pStyle w:val="BodyText"/>
        <w:spacing w:after="0"/>
        <w:rPr>
          <w:rFonts w:ascii="Cambria" w:hAnsi="Cambria"/>
          <w:noProof/>
          <w:sz w:val="22"/>
          <w:szCs w:val="22"/>
          <w:lang w:val="sr-Latn-BA"/>
        </w:rPr>
      </w:pPr>
      <w:r w:rsidRPr="006424B3">
        <w:rPr>
          <w:rFonts w:ascii="Cambria" w:hAnsi="Cambria"/>
          <w:noProof/>
          <w:sz w:val="22"/>
          <w:szCs w:val="22"/>
          <w:lang w:val="sr-Latn-BA"/>
        </w:rPr>
        <w:t>Licenca br.SRT-</w:t>
      </w:r>
      <w:r w:rsidR="00AE7795">
        <w:rPr>
          <w:rFonts w:ascii="Cambria" w:hAnsi="Cambria"/>
          <w:noProof/>
          <w:sz w:val="22"/>
          <w:szCs w:val="22"/>
          <w:lang w:val="sr-Latn-BA"/>
        </w:rPr>
        <w:t>1448</w:t>
      </w:r>
      <w:r w:rsidRPr="006424B3">
        <w:rPr>
          <w:rFonts w:ascii="Cambria" w:hAnsi="Cambria"/>
          <w:noProof/>
          <w:sz w:val="22"/>
          <w:szCs w:val="22"/>
          <w:lang w:val="sr-Latn-BA"/>
        </w:rPr>
        <w:t>/2</w:t>
      </w:r>
      <w:r w:rsidR="005F1BC4">
        <w:rPr>
          <w:rFonts w:ascii="Cambria" w:hAnsi="Cambria"/>
          <w:noProof/>
          <w:sz w:val="22"/>
          <w:szCs w:val="22"/>
          <w:lang w:val="sr-Latn-BA"/>
        </w:rPr>
        <w:t>4</w:t>
      </w:r>
      <w:r w:rsidR="00AE7795">
        <w:rPr>
          <w:rFonts w:ascii="Cambria" w:hAnsi="Cambria"/>
          <w:noProof/>
          <w:sz w:val="22"/>
          <w:szCs w:val="22"/>
          <w:lang w:val="sr-Latn-BA"/>
        </w:rPr>
        <w:t>5</w:t>
      </w:r>
      <w:r w:rsidRPr="006424B3">
        <w:rPr>
          <w:rFonts w:ascii="Cambria" w:hAnsi="Cambria"/>
          <w:noProof/>
          <w:sz w:val="22"/>
          <w:szCs w:val="22"/>
          <w:lang w:val="sr-Latn-BA"/>
        </w:rPr>
        <w:t xml:space="preserve">       </w:t>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p>
    <w:p w14:paraId="508E32E4" w14:textId="77777777" w:rsidR="00682E3D" w:rsidRPr="006424B3" w:rsidRDefault="00682E3D" w:rsidP="00682E3D">
      <w:pPr>
        <w:pStyle w:val="BodyText"/>
        <w:spacing w:after="0"/>
        <w:rPr>
          <w:rFonts w:ascii="Cambria" w:hAnsi="Cambria"/>
          <w:noProof/>
          <w:sz w:val="22"/>
          <w:szCs w:val="22"/>
          <w:lang w:val="sr-Latn-BA"/>
        </w:rPr>
      </w:pPr>
    </w:p>
    <w:p w14:paraId="7A433F00" w14:textId="77777777" w:rsidR="00682E3D" w:rsidRPr="006424B3" w:rsidRDefault="00682E3D" w:rsidP="00682E3D">
      <w:pPr>
        <w:pStyle w:val="BodyText"/>
        <w:spacing w:after="0"/>
        <w:rPr>
          <w:rFonts w:ascii="Cambria" w:hAnsi="Cambria"/>
          <w:noProof/>
          <w:sz w:val="22"/>
          <w:szCs w:val="22"/>
          <w:lang w:val="sr-Latn-BA"/>
        </w:rPr>
      </w:pPr>
      <w:r w:rsidRPr="006424B3">
        <w:rPr>
          <w:rFonts w:ascii="Cambria" w:hAnsi="Cambria"/>
          <w:noProof/>
          <w:sz w:val="22"/>
          <w:szCs w:val="22"/>
          <w:lang w:val="sr-Latn-BA"/>
        </w:rPr>
        <w:t xml:space="preserve">                                                                                                                                      ---------------------------------</w:t>
      </w:r>
    </w:p>
    <w:p w14:paraId="60A13920" w14:textId="27889477" w:rsidR="00E67426" w:rsidRPr="006424B3" w:rsidRDefault="00682E3D" w:rsidP="00354116">
      <w:pPr>
        <w:pStyle w:val="BodyText"/>
        <w:spacing w:after="0"/>
        <w:rPr>
          <w:rFonts w:ascii="Cambria" w:hAnsi="Cambria"/>
          <w:noProof/>
          <w:sz w:val="22"/>
          <w:szCs w:val="22"/>
          <w:lang w:val="sr-Latn-BA"/>
        </w:rPr>
      </w:pP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Theme="majorHAnsi" w:hAnsiTheme="majorHAnsi"/>
          <w:noProof/>
          <w:sz w:val="22"/>
          <w:szCs w:val="22"/>
          <w:lang w:val="sr-Latn-BA"/>
        </w:rPr>
        <w:tab/>
      </w:r>
      <w:r w:rsidRPr="006424B3">
        <w:rPr>
          <w:rFonts w:asciiTheme="majorHAnsi" w:hAnsiTheme="majorHAnsi"/>
          <w:noProof/>
          <w:sz w:val="22"/>
          <w:szCs w:val="22"/>
          <w:lang w:val="sr-Latn-BA"/>
        </w:rPr>
        <w:tab/>
      </w:r>
      <w:r w:rsidRPr="006424B3">
        <w:rPr>
          <w:rFonts w:asciiTheme="majorHAnsi" w:hAnsiTheme="majorHAnsi"/>
          <w:noProof/>
          <w:sz w:val="22"/>
          <w:szCs w:val="22"/>
          <w:lang w:val="sr-Latn-BA"/>
        </w:rPr>
        <w:tab/>
      </w:r>
      <w:r w:rsidRPr="006424B3">
        <w:rPr>
          <w:rFonts w:asciiTheme="majorHAnsi" w:hAnsiTheme="majorHAnsi"/>
          <w:noProof/>
          <w:sz w:val="22"/>
          <w:szCs w:val="22"/>
          <w:lang w:val="sr-Latn-BA"/>
        </w:rPr>
        <w:tab/>
      </w:r>
      <w:r w:rsidRPr="006424B3">
        <w:rPr>
          <w:rFonts w:asciiTheme="majorHAnsi" w:hAnsiTheme="majorHAnsi"/>
          <w:noProof/>
          <w:sz w:val="22"/>
          <w:szCs w:val="22"/>
          <w:lang w:val="sr-Latn-BA"/>
        </w:rPr>
        <w:tab/>
      </w:r>
      <w:r w:rsidRPr="006424B3">
        <w:rPr>
          <w:rFonts w:asciiTheme="majorHAnsi" w:hAnsiTheme="majorHAnsi"/>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t xml:space="preserve"> Vladan Jovi</w:t>
      </w:r>
      <w:r w:rsidR="00911BE2" w:rsidRPr="006424B3">
        <w:rPr>
          <w:rFonts w:ascii="Cambria" w:hAnsi="Cambria"/>
          <w:noProof/>
          <w:sz w:val="22"/>
          <w:szCs w:val="22"/>
          <w:lang w:val="sr-Latn-BA"/>
        </w:rPr>
        <w:t>ć</w:t>
      </w:r>
    </w:p>
    <w:sectPr w:rsidR="00E67426" w:rsidRPr="006424B3" w:rsidSect="00702891">
      <w:headerReference w:type="default" r:id="rId8"/>
      <w:footerReference w:type="even" r:id="rId9"/>
      <w:footerReference w:type="default" r:id="rId10"/>
      <w:pgSz w:w="12240" w:h="15840"/>
      <w:pgMar w:top="720" w:right="864" w:bottom="426" w:left="1296" w:header="706" w:footer="706"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BBB5B2E" w16cex:dateUtc="2025-04-29T12:0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917812" w14:textId="77777777" w:rsidR="008A1235" w:rsidRDefault="008A1235">
      <w:r>
        <w:separator/>
      </w:r>
    </w:p>
  </w:endnote>
  <w:endnote w:type="continuationSeparator" w:id="0">
    <w:p w14:paraId="6340AE0C" w14:textId="77777777" w:rsidR="008A1235" w:rsidRDefault="008A1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Cirilica">
    <w:altName w:val="Courier New"/>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Bold">
    <w:altName w:val="Times New Roman"/>
    <w:panose1 w:val="00000000000000000000"/>
    <w:charset w:val="00"/>
    <w:family w:val="roman"/>
    <w:notTrueType/>
    <w:pitch w:val="default"/>
  </w:font>
  <w:font w:name="TTE4t00">
    <w:altName w:val="Times New Roman"/>
    <w:panose1 w:val="00000000000000000000"/>
    <w:charset w:val="00"/>
    <w:family w:val="roman"/>
    <w:notTrueType/>
    <w:pitch w:val="default"/>
  </w:font>
  <w:font w:name="Times">
    <w:panose1 w:val="02020603050405020304"/>
    <w:charset w:val="EE"/>
    <w:family w:val="roman"/>
    <w:pitch w:val="variable"/>
    <w:sig w:usb0="E0002AFF" w:usb1="C0007841" w:usb2="00000009" w:usb3="00000000" w:csb0="000001FF" w:csb1="00000000"/>
  </w:font>
  <w:font w:name="EY Gothic Cond Medium">
    <w:charset w:val="00"/>
    <w:family w:val="auto"/>
    <w:pitch w:val="variable"/>
    <w:sig w:usb0="800000A7" w:usb1="00000040" w:usb2="00000000" w:usb3="00000000" w:csb0="00000009" w:csb1="00000000"/>
  </w:font>
  <w:font w:name="HR Times New Roman EE/ISO 8859">
    <w:altName w:val="Times New Roman"/>
    <w:charset w:val="EE"/>
    <w:family w:val="roman"/>
    <w:pitch w:val="variable"/>
    <w:sig w:usb0="00000005" w:usb1="00000000" w:usb2="00000000" w:usb3="00000000" w:csb0="00000002" w:csb1="00000000"/>
  </w:font>
  <w:font w:name="HelveticaPlain">
    <w:altName w:val="Times New Roman"/>
    <w:charset w:val="00"/>
    <w:family w:val="auto"/>
    <w:pitch w:val="variable"/>
    <w:sig w:usb0="00000083" w:usb1="00000000" w:usb2="00000000" w:usb3="00000000" w:csb0="00000009" w:csb1="00000000"/>
  </w:font>
  <w:font w:name="Arial Unicode MS">
    <w:panose1 w:val="020B0604020202020204"/>
    <w:charset w:val="00"/>
    <w:family w:val="roman"/>
    <w:notTrueType/>
    <w:pitch w:val="variable"/>
    <w:sig w:usb0="00000003" w:usb1="00000000" w:usb2="00000000" w:usb3="00000000" w:csb0="00000001" w:csb1="00000000"/>
  </w:font>
  <w:font w:name="CG Times (WN)">
    <w:panose1 w:val="00000000000000000000"/>
    <w:charset w:val="00"/>
    <w:family w:val="roman"/>
    <w:notTrueType/>
    <w:pitch w:val="variable"/>
    <w:sig w:usb0="00000003" w:usb1="00000000" w:usb2="00000000" w:usb3="00000000" w:csb0="00000001" w:csb1="00000000"/>
  </w:font>
  <w:font w:name="TimesRoman">
    <w:altName w:val="Times New Roman"/>
    <w:charset w:val="00"/>
    <w:family w:val="auto"/>
    <w:pitch w:val="variable"/>
    <w:sig w:usb0="00000083" w:usb1="00000000" w:usb2="00000000" w:usb3="00000000" w:csb0="00000009" w:csb1="00000000"/>
  </w:font>
  <w:font w:name="TimesRomanBold">
    <w:altName w:val="Times New Roman"/>
    <w:charset w:val="00"/>
    <w:family w:val="auto"/>
    <w:pitch w:val="variable"/>
    <w:sig w:usb0="00000083" w:usb1="00000000" w:usb2="00000000" w:usb3="00000000" w:csb0="00000009"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5A319" w14:textId="77777777" w:rsidR="00CE599E" w:rsidRDefault="00CE599E"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1EF3E2" w14:textId="77777777" w:rsidR="00CE599E" w:rsidRDefault="00CE599E" w:rsidP="00DA45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474A2" w14:textId="77777777" w:rsidR="00CE599E" w:rsidRDefault="00CE599E"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2B1B564D" w14:textId="77777777" w:rsidR="00CE599E" w:rsidRDefault="00CE599E" w:rsidP="00DA450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C051E1" w14:textId="77777777" w:rsidR="008A1235" w:rsidRDefault="008A1235">
      <w:r>
        <w:separator/>
      </w:r>
    </w:p>
  </w:footnote>
  <w:footnote w:type="continuationSeparator" w:id="0">
    <w:p w14:paraId="0107ABFB" w14:textId="77777777" w:rsidR="008A1235" w:rsidRDefault="008A1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0A276" w14:textId="77777777" w:rsidR="00CE599E" w:rsidRDefault="00CE599E">
    <w:pPr>
      <w:pStyle w:val="Header"/>
      <w:rPr>
        <w:lang w:val="sr-Latn-BA"/>
      </w:rPr>
    </w:pPr>
  </w:p>
  <w:p w14:paraId="16062769" w14:textId="77777777" w:rsidR="00CE599E" w:rsidRPr="00E073F7" w:rsidRDefault="00CE599E">
    <w:pPr>
      <w:pStyle w:val="Header"/>
      <w:rPr>
        <w:lang w:val="sr-Latn-B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53463"/>
    <w:multiLevelType w:val="hybridMultilevel"/>
    <w:tmpl w:val="C06A1F08"/>
    <w:lvl w:ilvl="0" w:tplc="54AEED06">
      <w:start w:val="3"/>
      <w:numFmt w:val="bullet"/>
      <w:lvlText w:val="-"/>
      <w:lvlJc w:val="left"/>
      <w:pPr>
        <w:ind w:left="720" w:hanging="360"/>
      </w:pPr>
      <w:rPr>
        <w:rFonts w:ascii="Tahoma" w:eastAsia="Times New Roman" w:hAnsi="Tahoma" w:cs="Tahoma"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 w15:restartNumberingAfterBreak="0">
    <w:nsid w:val="0BA56487"/>
    <w:multiLevelType w:val="hybridMultilevel"/>
    <w:tmpl w:val="DC089B7C"/>
    <w:lvl w:ilvl="0" w:tplc="E798435E">
      <w:start w:val="5"/>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0D6B1965"/>
    <w:multiLevelType w:val="hybridMultilevel"/>
    <w:tmpl w:val="31E521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DED6158"/>
    <w:multiLevelType w:val="hybridMultilevel"/>
    <w:tmpl w:val="4BEAB7D0"/>
    <w:lvl w:ilvl="0" w:tplc="181A0001">
      <w:start w:val="1"/>
      <w:numFmt w:val="bullet"/>
      <w:lvlText w:val=""/>
      <w:lvlJc w:val="left"/>
      <w:pPr>
        <w:ind w:left="720" w:hanging="360"/>
      </w:pPr>
      <w:rPr>
        <w:rFonts w:ascii="Symbol" w:hAnsi="Symbol" w:cs="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cs="Wingdings" w:hint="default"/>
      </w:rPr>
    </w:lvl>
    <w:lvl w:ilvl="3" w:tplc="181A0001" w:tentative="1">
      <w:start w:val="1"/>
      <w:numFmt w:val="bullet"/>
      <w:lvlText w:val=""/>
      <w:lvlJc w:val="left"/>
      <w:pPr>
        <w:ind w:left="2880" w:hanging="360"/>
      </w:pPr>
      <w:rPr>
        <w:rFonts w:ascii="Symbol" w:hAnsi="Symbol" w:cs="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cs="Wingdings" w:hint="default"/>
      </w:rPr>
    </w:lvl>
    <w:lvl w:ilvl="6" w:tplc="181A0001" w:tentative="1">
      <w:start w:val="1"/>
      <w:numFmt w:val="bullet"/>
      <w:lvlText w:val=""/>
      <w:lvlJc w:val="left"/>
      <w:pPr>
        <w:ind w:left="5040" w:hanging="360"/>
      </w:pPr>
      <w:rPr>
        <w:rFonts w:ascii="Symbol" w:hAnsi="Symbol" w:cs="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3206FEE"/>
    <w:multiLevelType w:val="multilevel"/>
    <w:tmpl w:val="B4AA58CA"/>
    <w:lvl w:ilvl="0">
      <w:start w:val="2"/>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5" w15:restartNumberingAfterBreak="0">
    <w:nsid w:val="13DC0DC3"/>
    <w:multiLevelType w:val="multilevel"/>
    <w:tmpl w:val="805E32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F514BF"/>
    <w:multiLevelType w:val="hybridMultilevel"/>
    <w:tmpl w:val="BBFEBA5A"/>
    <w:lvl w:ilvl="0" w:tplc="05E6BE64">
      <w:start w:val="1"/>
      <w:numFmt w:val="decimal"/>
      <w:lvlText w:val="%1)"/>
      <w:lvlJc w:val="left"/>
      <w:pPr>
        <w:ind w:left="927" w:hanging="360"/>
      </w:pPr>
      <w:rPr>
        <w:rFonts w:hint="default"/>
      </w:rPr>
    </w:lvl>
    <w:lvl w:ilvl="1" w:tplc="181A0019" w:tentative="1">
      <w:start w:val="1"/>
      <w:numFmt w:val="lowerLetter"/>
      <w:lvlText w:val="%2."/>
      <w:lvlJc w:val="left"/>
      <w:pPr>
        <w:ind w:left="1647" w:hanging="360"/>
      </w:pPr>
    </w:lvl>
    <w:lvl w:ilvl="2" w:tplc="181A001B" w:tentative="1">
      <w:start w:val="1"/>
      <w:numFmt w:val="lowerRoman"/>
      <w:lvlText w:val="%3."/>
      <w:lvlJc w:val="right"/>
      <w:pPr>
        <w:ind w:left="2367" w:hanging="180"/>
      </w:pPr>
    </w:lvl>
    <w:lvl w:ilvl="3" w:tplc="181A000F" w:tentative="1">
      <w:start w:val="1"/>
      <w:numFmt w:val="decimal"/>
      <w:lvlText w:val="%4."/>
      <w:lvlJc w:val="left"/>
      <w:pPr>
        <w:ind w:left="3087" w:hanging="360"/>
      </w:pPr>
    </w:lvl>
    <w:lvl w:ilvl="4" w:tplc="181A0019" w:tentative="1">
      <w:start w:val="1"/>
      <w:numFmt w:val="lowerLetter"/>
      <w:lvlText w:val="%5."/>
      <w:lvlJc w:val="left"/>
      <w:pPr>
        <w:ind w:left="3807" w:hanging="360"/>
      </w:pPr>
    </w:lvl>
    <w:lvl w:ilvl="5" w:tplc="181A001B" w:tentative="1">
      <w:start w:val="1"/>
      <w:numFmt w:val="lowerRoman"/>
      <w:lvlText w:val="%6."/>
      <w:lvlJc w:val="right"/>
      <w:pPr>
        <w:ind w:left="4527" w:hanging="180"/>
      </w:pPr>
    </w:lvl>
    <w:lvl w:ilvl="6" w:tplc="181A000F" w:tentative="1">
      <w:start w:val="1"/>
      <w:numFmt w:val="decimal"/>
      <w:lvlText w:val="%7."/>
      <w:lvlJc w:val="left"/>
      <w:pPr>
        <w:ind w:left="5247" w:hanging="360"/>
      </w:pPr>
    </w:lvl>
    <w:lvl w:ilvl="7" w:tplc="181A0019" w:tentative="1">
      <w:start w:val="1"/>
      <w:numFmt w:val="lowerLetter"/>
      <w:lvlText w:val="%8."/>
      <w:lvlJc w:val="left"/>
      <w:pPr>
        <w:ind w:left="5967" w:hanging="360"/>
      </w:pPr>
    </w:lvl>
    <w:lvl w:ilvl="8" w:tplc="181A001B" w:tentative="1">
      <w:start w:val="1"/>
      <w:numFmt w:val="lowerRoman"/>
      <w:lvlText w:val="%9."/>
      <w:lvlJc w:val="right"/>
      <w:pPr>
        <w:ind w:left="6687" w:hanging="180"/>
      </w:pPr>
    </w:lvl>
  </w:abstractNum>
  <w:abstractNum w:abstractNumId="8" w15:restartNumberingAfterBreak="0">
    <w:nsid w:val="1710697A"/>
    <w:multiLevelType w:val="hybridMultilevel"/>
    <w:tmpl w:val="99000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961D07"/>
    <w:multiLevelType w:val="hybridMultilevel"/>
    <w:tmpl w:val="BA3C39C4"/>
    <w:lvl w:ilvl="0" w:tplc="181A0001">
      <w:start w:val="1"/>
      <w:numFmt w:val="bullet"/>
      <w:lvlText w:val=""/>
      <w:lvlJc w:val="left"/>
      <w:pPr>
        <w:ind w:left="720" w:hanging="360"/>
      </w:pPr>
      <w:rPr>
        <w:rFonts w:ascii="Symbol" w:hAnsi="Symbol" w:cs="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cs="Wingdings" w:hint="default"/>
      </w:rPr>
    </w:lvl>
    <w:lvl w:ilvl="3" w:tplc="181A0001" w:tentative="1">
      <w:start w:val="1"/>
      <w:numFmt w:val="bullet"/>
      <w:lvlText w:val=""/>
      <w:lvlJc w:val="left"/>
      <w:pPr>
        <w:ind w:left="2880" w:hanging="360"/>
      </w:pPr>
      <w:rPr>
        <w:rFonts w:ascii="Symbol" w:hAnsi="Symbol" w:cs="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cs="Wingdings" w:hint="default"/>
      </w:rPr>
    </w:lvl>
    <w:lvl w:ilvl="6" w:tplc="181A0001" w:tentative="1">
      <w:start w:val="1"/>
      <w:numFmt w:val="bullet"/>
      <w:lvlText w:val=""/>
      <w:lvlJc w:val="left"/>
      <w:pPr>
        <w:ind w:left="5040" w:hanging="360"/>
      </w:pPr>
      <w:rPr>
        <w:rFonts w:ascii="Symbol" w:hAnsi="Symbol" w:cs="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1CDD038D"/>
    <w:multiLevelType w:val="hybridMultilevel"/>
    <w:tmpl w:val="59B6F644"/>
    <w:lvl w:ilvl="0" w:tplc="181A000F">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1" w15:restartNumberingAfterBreak="0">
    <w:nsid w:val="21852BC7"/>
    <w:multiLevelType w:val="hybridMultilevel"/>
    <w:tmpl w:val="6C00AF94"/>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2" w15:restartNumberingAfterBreak="0">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B785918"/>
    <w:multiLevelType w:val="hybridMultilevel"/>
    <w:tmpl w:val="6A84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9F5725"/>
    <w:multiLevelType w:val="hybridMultilevel"/>
    <w:tmpl w:val="E1B45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440F3C"/>
    <w:multiLevelType w:val="hybridMultilevel"/>
    <w:tmpl w:val="4ECC749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7" w15:restartNumberingAfterBreak="0">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8" w15:restartNumberingAfterBreak="0">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9" w15:restartNumberingAfterBreak="0">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32E07EA"/>
    <w:multiLevelType w:val="hybridMultilevel"/>
    <w:tmpl w:val="C9382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5301C0"/>
    <w:multiLevelType w:val="hybridMultilevel"/>
    <w:tmpl w:val="AF1E8694"/>
    <w:lvl w:ilvl="0" w:tplc="181A0001">
      <w:start w:val="1"/>
      <w:numFmt w:val="bullet"/>
      <w:lvlText w:val=""/>
      <w:lvlJc w:val="left"/>
      <w:pPr>
        <w:ind w:left="720" w:hanging="360"/>
      </w:pPr>
      <w:rPr>
        <w:rFonts w:ascii="Symbol" w:hAnsi="Symbol" w:cs="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cs="Wingdings" w:hint="default"/>
      </w:rPr>
    </w:lvl>
    <w:lvl w:ilvl="3" w:tplc="181A0001" w:tentative="1">
      <w:start w:val="1"/>
      <w:numFmt w:val="bullet"/>
      <w:lvlText w:val=""/>
      <w:lvlJc w:val="left"/>
      <w:pPr>
        <w:ind w:left="2880" w:hanging="360"/>
      </w:pPr>
      <w:rPr>
        <w:rFonts w:ascii="Symbol" w:hAnsi="Symbol" w:cs="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cs="Wingdings" w:hint="default"/>
      </w:rPr>
    </w:lvl>
    <w:lvl w:ilvl="6" w:tplc="181A0001" w:tentative="1">
      <w:start w:val="1"/>
      <w:numFmt w:val="bullet"/>
      <w:lvlText w:val=""/>
      <w:lvlJc w:val="left"/>
      <w:pPr>
        <w:ind w:left="5040" w:hanging="360"/>
      </w:pPr>
      <w:rPr>
        <w:rFonts w:ascii="Symbol" w:hAnsi="Symbol" w:cs="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46D47C37"/>
    <w:multiLevelType w:val="hybridMultilevel"/>
    <w:tmpl w:val="06AC3F14"/>
    <w:lvl w:ilvl="0" w:tplc="181A0001">
      <w:start w:val="1"/>
      <w:numFmt w:val="bullet"/>
      <w:lvlText w:val=""/>
      <w:lvlJc w:val="left"/>
      <w:pPr>
        <w:ind w:left="720" w:hanging="360"/>
      </w:pPr>
      <w:rPr>
        <w:rFonts w:ascii="Symbol" w:hAnsi="Symbol" w:hint="default"/>
      </w:rPr>
    </w:lvl>
    <w:lvl w:ilvl="1" w:tplc="3AFE6F40">
      <w:numFmt w:val="bullet"/>
      <w:lvlText w:val="-"/>
      <w:lvlJc w:val="left"/>
      <w:pPr>
        <w:ind w:left="1800" w:hanging="720"/>
      </w:pPr>
      <w:rPr>
        <w:rFonts w:ascii="Tahoma" w:eastAsia="Times New Roman" w:hAnsi="Tahoma" w:cs="Tahoma"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3" w15:restartNumberingAfterBreak="0">
    <w:nsid w:val="482625D0"/>
    <w:multiLevelType w:val="hybridMultilevel"/>
    <w:tmpl w:val="92426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F6A6CED"/>
    <w:multiLevelType w:val="hybridMultilevel"/>
    <w:tmpl w:val="540476F4"/>
    <w:lvl w:ilvl="0" w:tplc="BDC0291A">
      <w:numFmt w:val="bullet"/>
      <w:lvlText w:val="-"/>
      <w:lvlJc w:val="left"/>
      <w:pPr>
        <w:ind w:left="1080" w:hanging="360"/>
      </w:pPr>
      <w:rPr>
        <w:rFonts w:ascii="Calibri" w:eastAsiaTheme="minorHAnsi" w:hAnsi="Calibri" w:cs="Calibri" w:hint="default"/>
      </w:rPr>
    </w:lvl>
    <w:lvl w:ilvl="1" w:tplc="042F0003" w:tentative="1">
      <w:start w:val="1"/>
      <w:numFmt w:val="bullet"/>
      <w:lvlText w:val="o"/>
      <w:lvlJc w:val="left"/>
      <w:pPr>
        <w:ind w:left="1800" w:hanging="360"/>
      </w:pPr>
      <w:rPr>
        <w:rFonts w:ascii="Courier New" w:hAnsi="Courier New" w:cs="Courier New" w:hint="default"/>
      </w:rPr>
    </w:lvl>
    <w:lvl w:ilvl="2" w:tplc="042F0005" w:tentative="1">
      <w:start w:val="1"/>
      <w:numFmt w:val="bullet"/>
      <w:lvlText w:val=""/>
      <w:lvlJc w:val="left"/>
      <w:pPr>
        <w:ind w:left="2520" w:hanging="360"/>
      </w:pPr>
      <w:rPr>
        <w:rFonts w:ascii="Wingdings" w:hAnsi="Wingdings" w:hint="default"/>
      </w:rPr>
    </w:lvl>
    <w:lvl w:ilvl="3" w:tplc="042F0001" w:tentative="1">
      <w:start w:val="1"/>
      <w:numFmt w:val="bullet"/>
      <w:lvlText w:val=""/>
      <w:lvlJc w:val="left"/>
      <w:pPr>
        <w:ind w:left="3240" w:hanging="360"/>
      </w:pPr>
      <w:rPr>
        <w:rFonts w:ascii="Symbol" w:hAnsi="Symbol" w:hint="default"/>
      </w:rPr>
    </w:lvl>
    <w:lvl w:ilvl="4" w:tplc="042F0003" w:tentative="1">
      <w:start w:val="1"/>
      <w:numFmt w:val="bullet"/>
      <w:lvlText w:val="o"/>
      <w:lvlJc w:val="left"/>
      <w:pPr>
        <w:ind w:left="3960" w:hanging="360"/>
      </w:pPr>
      <w:rPr>
        <w:rFonts w:ascii="Courier New" w:hAnsi="Courier New" w:cs="Courier New" w:hint="default"/>
      </w:rPr>
    </w:lvl>
    <w:lvl w:ilvl="5" w:tplc="042F0005" w:tentative="1">
      <w:start w:val="1"/>
      <w:numFmt w:val="bullet"/>
      <w:lvlText w:val=""/>
      <w:lvlJc w:val="left"/>
      <w:pPr>
        <w:ind w:left="4680" w:hanging="360"/>
      </w:pPr>
      <w:rPr>
        <w:rFonts w:ascii="Wingdings" w:hAnsi="Wingdings" w:hint="default"/>
      </w:rPr>
    </w:lvl>
    <w:lvl w:ilvl="6" w:tplc="042F0001" w:tentative="1">
      <w:start w:val="1"/>
      <w:numFmt w:val="bullet"/>
      <w:lvlText w:val=""/>
      <w:lvlJc w:val="left"/>
      <w:pPr>
        <w:ind w:left="5400" w:hanging="360"/>
      </w:pPr>
      <w:rPr>
        <w:rFonts w:ascii="Symbol" w:hAnsi="Symbol" w:hint="default"/>
      </w:rPr>
    </w:lvl>
    <w:lvl w:ilvl="7" w:tplc="042F0003" w:tentative="1">
      <w:start w:val="1"/>
      <w:numFmt w:val="bullet"/>
      <w:lvlText w:val="o"/>
      <w:lvlJc w:val="left"/>
      <w:pPr>
        <w:ind w:left="6120" w:hanging="360"/>
      </w:pPr>
      <w:rPr>
        <w:rFonts w:ascii="Courier New" w:hAnsi="Courier New" w:cs="Courier New" w:hint="default"/>
      </w:rPr>
    </w:lvl>
    <w:lvl w:ilvl="8" w:tplc="042F0005" w:tentative="1">
      <w:start w:val="1"/>
      <w:numFmt w:val="bullet"/>
      <w:lvlText w:val=""/>
      <w:lvlJc w:val="left"/>
      <w:pPr>
        <w:ind w:left="6840" w:hanging="360"/>
      </w:pPr>
      <w:rPr>
        <w:rFonts w:ascii="Wingdings" w:hAnsi="Wingdings" w:hint="default"/>
      </w:rPr>
    </w:lvl>
  </w:abstractNum>
  <w:abstractNum w:abstractNumId="26" w15:restartNumberingAfterBreak="0">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455805"/>
    <w:multiLevelType w:val="multilevel"/>
    <w:tmpl w:val="18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30" w15:restartNumberingAfterBreak="0">
    <w:nsid w:val="6B8E0421"/>
    <w:multiLevelType w:val="hybridMultilevel"/>
    <w:tmpl w:val="301C119A"/>
    <w:lvl w:ilvl="0" w:tplc="BA0019DA">
      <w:start w:val="5"/>
      <w:numFmt w:val="bullet"/>
      <w:lvlText w:val="-"/>
      <w:lvlJc w:val="left"/>
      <w:pPr>
        <w:ind w:left="720" w:hanging="360"/>
      </w:pPr>
      <w:rPr>
        <w:rFonts w:ascii="Tahoma" w:eastAsia="Times New Roman" w:hAnsi="Tahoma" w:cs="Tahoma"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1" w15:restartNumberingAfterBreak="0">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26"/>
  </w:num>
  <w:num w:numId="2">
    <w:abstractNumId w:val="12"/>
  </w:num>
  <w:num w:numId="3">
    <w:abstractNumId w:val="29"/>
  </w:num>
  <w:num w:numId="4">
    <w:abstractNumId w:val="17"/>
  </w:num>
  <w:num w:numId="5">
    <w:abstractNumId w:val="19"/>
  </w:num>
  <w:num w:numId="6">
    <w:abstractNumId w:val="32"/>
  </w:num>
  <w:num w:numId="7">
    <w:abstractNumId w:val="33"/>
  </w:num>
  <w:num w:numId="8">
    <w:abstractNumId w:val="24"/>
  </w:num>
  <w:num w:numId="9">
    <w:abstractNumId w:val="31"/>
  </w:num>
  <w:num w:numId="10">
    <w:abstractNumId w:val="27"/>
  </w:num>
  <w:num w:numId="11">
    <w:abstractNumId w:val="15"/>
  </w:num>
  <w:num w:numId="12">
    <w:abstractNumId w:val="6"/>
  </w:num>
  <w:num w:numId="13">
    <w:abstractNumId w:val="18"/>
  </w:num>
  <w:num w:numId="14">
    <w:abstractNumId w:val="1"/>
  </w:num>
  <w:num w:numId="15">
    <w:abstractNumId w:val="8"/>
  </w:num>
  <w:num w:numId="16">
    <w:abstractNumId w:val="23"/>
  </w:num>
  <w:num w:numId="17">
    <w:abstractNumId w:val="14"/>
  </w:num>
  <w:num w:numId="18">
    <w:abstractNumId w:val="16"/>
  </w:num>
  <w:num w:numId="19">
    <w:abstractNumId w:val="22"/>
  </w:num>
  <w:num w:numId="20">
    <w:abstractNumId w:val="4"/>
  </w:num>
  <w:num w:numId="21">
    <w:abstractNumId w:val="2"/>
  </w:num>
  <w:num w:numId="22">
    <w:abstractNumId w:val="5"/>
  </w:num>
  <w:num w:numId="23">
    <w:abstractNumId w:val="11"/>
  </w:num>
  <w:num w:numId="24">
    <w:abstractNumId w:val="10"/>
  </w:num>
  <w:num w:numId="25">
    <w:abstractNumId w:val="9"/>
  </w:num>
  <w:num w:numId="26">
    <w:abstractNumId w:val="21"/>
  </w:num>
  <w:num w:numId="27">
    <w:abstractNumId w:val="3"/>
  </w:num>
  <w:num w:numId="28">
    <w:abstractNumId w:val="7"/>
  </w:num>
  <w:num w:numId="29">
    <w:abstractNumId w:val="25"/>
  </w:num>
  <w:num w:numId="30">
    <w:abstractNumId w:val="0"/>
  </w:num>
  <w:num w:numId="31">
    <w:abstractNumId w:val="30"/>
  </w:num>
  <w:num w:numId="32">
    <w:abstractNumId w:val="28"/>
  </w:num>
  <w:num w:numId="33">
    <w:abstractNumId w:val="20"/>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944"/>
    <w:rsid w:val="000029A2"/>
    <w:rsid w:val="00002E3F"/>
    <w:rsid w:val="00004450"/>
    <w:rsid w:val="00005285"/>
    <w:rsid w:val="000056E3"/>
    <w:rsid w:val="00006347"/>
    <w:rsid w:val="000077B8"/>
    <w:rsid w:val="00007F24"/>
    <w:rsid w:val="000120EE"/>
    <w:rsid w:val="00012461"/>
    <w:rsid w:val="0001289A"/>
    <w:rsid w:val="00012A11"/>
    <w:rsid w:val="00012C36"/>
    <w:rsid w:val="0001472F"/>
    <w:rsid w:val="00016EBE"/>
    <w:rsid w:val="00022780"/>
    <w:rsid w:val="00022792"/>
    <w:rsid w:val="00023F4E"/>
    <w:rsid w:val="000273CF"/>
    <w:rsid w:val="000276D1"/>
    <w:rsid w:val="0002774B"/>
    <w:rsid w:val="00027C2D"/>
    <w:rsid w:val="00031198"/>
    <w:rsid w:val="00031DB8"/>
    <w:rsid w:val="000326C1"/>
    <w:rsid w:val="00032E5A"/>
    <w:rsid w:val="000335F9"/>
    <w:rsid w:val="00033EDB"/>
    <w:rsid w:val="000343A9"/>
    <w:rsid w:val="00034508"/>
    <w:rsid w:val="00035541"/>
    <w:rsid w:val="000358AC"/>
    <w:rsid w:val="00035D2A"/>
    <w:rsid w:val="00035EFB"/>
    <w:rsid w:val="000363F3"/>
    <w:rsid w:val="000369E8"/>
    <w:rsid w:val="00041426"/>
    <w:rsid w:val="00041C33"/>
    <w:rsid w:val="00041F39"/>
    <w:rsid w:val="00042897"/>
    <w:rsid w:val="00043438"/>
    <w:rsid w:val="00043439"/>
    <w:rsid w:val="00043EC1"/>
    <w:rsid w:val="00047E4A"/>
    <w:rsid w:val="00050213"/>
    <w:rsid w:val="000537DF"/>
    <w:rsid w:val="000545D4"/>
    <w:rsid w:val="00054AE5"/>
    <w:rsid w:val="00054F53"/>
    <w:rsid w:val="00055517"/>
    <w:rsid w:val="00055927"/>
    <w:rsid w:val="00056791"/>
    <w:rsid w:val="00062F40"/>
    <w:rsid w:val="00063553"/>
    <w:rsid w:val="00063928"/>
    <w:rsid w:val="00063D36"/>
    <w:rsid w:val="00064008"/>
    <w:rsid w:val="00064F32"/>
    <w:rsid w:val="00065484"/>
    <w:rsid w:val="00065C9B"/>
    <w:rsid w:val="00066BE2"/>
    <w:rsid w:val="000673B3"/>
    <w:rsid w:val="00067A94"/>
    <w:rsid w:val="00067CA5"/>
    <w:rsid w:val="00067D3A"/>
    <w:rsid w:val="000707A4"/>
    <w:rsid w:val="00071161"/>
    <w:rsid w:val="000731CE"/>
    <w:rsid w:val="000738E2"/>
    <w:rsid w:val="000742B3"/>
    <w:rsid w:val="0007494C"/>
    <w:rsid w:val="00074E68"/>
    <w:rsid w:val="000764D3"/>
    <w:rsid w:val="000767A6"/>
    <w:rsid w:val="00077F12"/>
    <w:rsid w:val="00080D48"/>
    <w:rsid w:val="00081B26"/>
    <w:rsid w:val="000822F7"/>
    <w:rsid w:val="000853C5"/>
    <w:rsid w:val="000857B4"/>
    <w:rsid w:val="000858B2"/>
    <w:rsid w:val="000860A5"/>
    <w:rsid w:val="00086119"/>
    <w:rsid w:val="00087134"/>
    <w:rsid w:val="000902D6"/>
    <w:rsid w:val="00090C4B"/>
    <w:rsid w:val="00091FF7"/>
    <w:rsid w:val="000940D8"/>
    <w:rsid w:val="00094386"/>
    <w:rsid w:val="0009478F"/>
    <w:rsid w:val="00094C92"/>
    <w:rsid w:val="000A1A6D"/>
    <w:rsid w:val="000A200E"/>
    <w:rsid w:val="000A4917"/>
    <w:rsid w:val="000A4920"/>
    <w:rsid w:val="000A4DEB"/>
    <w:rsid w:val="000A5028"/>
    <w:rsid w:val="000A591E"/>
    <w:rsid w:val="000A741B"/>
    <w:rsid w:val="000A76E6"/>
    <w:rsid w:val="000A771B"/>
    <w:rsid w:val="000B0E81"/>
    <w:rsid w:val="000B1717"/>
    <w:rsid w:val="000B183C"/>
    <w:rsid w:val="000B3E5D"/>
    <w:rsid w:val="000B4769"/>
    <w:rsid w:val="000B5E4F"/>
    <w:rsid w:val="000B7D4A"/>
    <w:rsid w:val="000C0A6E"/>
    <w:rsid w:val="000C10D4"/>
    <w:rsid w:val="000C1A57"/>
    <w:rsid w:val="000C1F19"/>
    <w:rsid w:val="000C272B"/>
    <w:rsid w:val="000C38DA"/>
    <w:rsid w:val="000C40CB"/>
    <w:rsid w:val="000C4E86"/>
    <w:rsid w:val="000C564A"/>
    <w:rsid w:val="000C592C"/>
    <w:rsid w:val="000C5C92"/>
    <w:rsid w:val="000C6687"/>
    <w:rsid w:val="000C6983"/>
    <w:rsid w:val="000D1463"/>
    <w:rsid w:val="000D16AB"/>
    <w:rsid w:val="000D190D"/>
    <w:rsid w:val="000D3894"/>
    <w:rsid w:val="000D3D3F"/>
    <w:rsid w:val="000D4E6A"/>
    <w:rsid w:val="000D66D2"/>
    <w:rsid w:val="000D70A5"/>
    <w:rsid w:val="000D7B3E"/>
    <w:rsid w:val="000E0B6C"/>
    <w:rsid w:val="000E0EA3"/>
    <w:rsid w:val="000E2EB5"/>
    <w:rsid w:val="000E40EA"/>
    <w:rsid w:val="000E47CF"/>
    <w:rsid w:val="000E4F39"/>
    <w:rsid w:val="000E569A"/>
    <w:rsid w:val="000E777F"/>
    <w:rsid w:val="000F02C9"/>
    <w:rsid w:val="000F0439"/>
    <w:rsid w:val="000F065D"/>
    <w:rsid w:val="000F11DF"/>
    <w:rsid w:val="000F1234"/>
    <w:rsid w:val="000F3445"/>
    <w:rsid w:val="000F4A2D"/>
    <w:rsid w:val="000F5256"/>
    <w:rsid w:val="000F69AE"/>
    <w:rsid w:val="00101CBA"/>
    <w:rsid w:val="00101D93"/>
    <w:rsid w:val="00102EDD"/>
    <w:rsid w:val="00103751"/>
    <w:rsid w:val="00103E33"/>
    <w:rsid w:val="001044C3"/>
    <w:rsid w:val="00104D2E"/>
    <w:rsid w:val="00107E71"/>
    <w:rsid w:val="001121FE"/>
    <w:rsid w:val="00112EBD"/>
    <w:rsid w:val="00112F7D"/>
    <w:rsid w:val="001133CB"/>
    <w:rsid w:val="00114520"/>
    <w:rsid w:val="00115C6C"/>
    <w:rsid w:val="00120E93"/>
    <w:rsid w:val="001212C5"/>
    <w:rsid w:val="00121706"/>
    <w:rsid w:val="00121D46"/>
    <w:rsid w:val="0012210D"/>
    <w:rsid w:val="0012312C"/>
    <w:rsid w:val="001239AF"/>
    <w:rsid w:val="00123B97"/>
    <w:rsid w:val="0012533B"/>
    <w:rsid w:val="001255C3"/>
    <w:rsid w:val="00125A0E"/>
    <w:rsid w:val="00125F7A"/>
    <w:rsid w:val="001260AB"/>
    <w:rsid w:val="00126E6D"/>
    <w:rsid w:val="001304EA"/>
    <w:rsid w:val="00130634"/>
    <w:rsid w:val="0013121B"/>
    <w:rsid w:val="001340EC"/>
    <w:rsid w:val="0013416E"/>
    <w:rsid w:val="00134F54"/>
    <w:rsid w:val="00135C07"/>
    <w:rsid w:val="00136D3B"/>
    <w:rsid w:val="001405C2"/>
    <w:rsid w:val="0014073B"/>
    <w:rsid w:val="00140E62"/>
    <w:rsid w:val="001417E7"/>
    <w:rsid w:val="00141A3E"/>
    <w:rsid w:val="00141DF5"/>
    <w:rsid w:val="00142158"/>
    <w:rsid w:val="0014217D"/>
    <w:rsid w:val="0014238E"/>
    <w:rsid w:val="00146187"/>
    <w:rsid w:val="00146DE3"/>
    <w:rsid w:val="00152307"/>
    <w:rsid w:val="0015284F"/>
    <w:rsid w:val="00153EAB"/>
    <w:rsid w:val="00155A9C"/>
    <w:rsid w:val="0015606E"/>
    <w:rsid w:val="001608EC"/>
    <w:rsid w:val="00161663"/>
    <w:rsid w:val="0016308F"/>
    <w:rsid w:val="0016339F"/>
    <w:rsid w:val="001634BD"/>
    <w:rsid w:val="001648F0"/>
    <w:rsid w:val="0016523B"/>
    <w:rsid w:val="00165DB2"/>
    <w:rsid w:val="00166821"/>
    <w:rsid w:val="00166D1F"/>
    <w:rsid w:val="0016747A"/>
    <w:rsid w:val="0016793B"/>
    <w:rsid w:val="001713EA"/>
    <w:rsid w:val="0017149E"/>
    <w:rsid w:val="00171BC5"/>
    <w:rsid w:val="0017201E"/>
    <w:rsid w:val="00172108"/>
    <w:rsid w:val="001725FA"/>
    <w:rsid w:val="00173228"/>
    <w:rsid w:val="001742F2"/>
    <w:rsid w:val="00175072"/>
    <w:rsid w:val="001759D3"/>
    <w:rsid w:val="00175A26"/>
    <w:rsid w:val="001765B9"/>
    <w:rsid w:val="001768D2"/>
    <w:rsid w:val="00176E8B"/>
    <w:rsid w:val="00177BED"/>
    <w:rsid w:val="00180B84"/>
    <w:rsid w:val="00180B8A"/>
    <w:rsid w:val="00182BF3"/>
    <w:rsid w:val="00183678"/>
    <w:rsid w:val="00183AE9"/>
    <w:rsid w:val="00184822"/>
    <w:rsid w:val="00184E45"/>
    <w:rsid w:val="00186186"/>
    <w:rsid w:val="00186809"/>
    <w:rsid w:val="00186D5A"/>
    <w:rsid w:val="001902D4"/>
    <w:rsid w:val="001907B7"/>
    <w:rsid w:val="00192051"/>
    <w:rsid w:val="00192D09"/>
    <w:rsid w:val="001938AE"/>
    <w:rsid w:val="00196272"/>
    <w:rsid w:val="00197DFB"/>
    <w:rsid w:val="001A1AE4"/>
    <w:rsid w:val="001A26A0"/>
    <w:rsid w:val="001A396A"/>
    <w:rsid w:val="001A7FB3"/>
    <w:rsid w:val="001B1D18"/>
    <w:rsid w:val="001B24E2"/>
    <w:rsid w:val="001B343B"/>
    <w:rsid w:val="001B5349"/>
    <w:rsid w:val="001B5421"/>
    <w:rsid w:val="001B6517"/>
    <w:rsid w:val="001B70FE"/>
    <w:rsid w:val="001B71F0"/>
    <w:rsid w:val="001C2EC0"/>
    <w:rsid w:val="001C326F"/>
    <w:rsid w:val="001C61BA"/>
    <w:rsid w:val="001C6448"/>
    <w:rsid w:val="001C67F4"/>
    <w:rsid w:val="001C6879"/>
    <w:rsid w:val="001D2E1E"/>
    <w:rsid w:val="001D3AF2"/>
    <w:rsid w:val="001D5144"/>
    <w:rsid w:val="001D703C"/>
    <w:rsid w:val="001D7499"/>
    <w:rsid w:val="001D7554"/>
    <w:rsid w:val="001E01FB"/>
    <w:rsid w:val="001E0D88"/>
    <w:rsid w:val="001E1EE4"/>
    <w:rsid w:val="001E2A0D"/>
    <w:rsid w:val="001E38D7"/>
    <w:rsid w:val="001E5187"/>
    <w:rsid w:val="001E5324"/>
    <w:rsid w:val="001E636A"/>
    <w:rsid w:val="001E770D"/>
    <w:rsid w:val="001E777D"/>
    <w:rsid w:val="001F0A15"/>
    <w:rsid w:val="001F14A6"/>
    <w:rsid w:val="001F185D"/>
    <w:rsid w:val="001F1B14"/>
    <w:rsid w:val="001F2A6C"/>
    <w:rsid w:val="001F31AF"/>
    <w:rsid w:val="001F392E"/>
    <w:rsid w:val="001F4A27"/>
    <w:rsid w:val="001F5E10"/>
    <w:rsid w:val="001F6186"/>
    <w:rsid w:val="001F72AB"/>
    <w:rsid w:val="001F7B9A"/>
    <w:rsid w:val="001F7FA3"/>
    <w:rsid w:val="00200C26"/>
    <w:rsid w:val="00200ED1"/>
    <w:rsid w:val="00201255"/>
    <w:rsid w:val="00201B1C"/>
    <w:rsid w:val="002025C4"/>
    <w:rsid w:val="002026C2"/>
    <w:rsid w:val="00202918"/>
    <w:rsid w:val="00202B95"/>
    <w:rsid w:val="00202BFA"/>
    <w:rsid w:val="0020326D"/>
    <w:rsid w:val="002039BB"/>
    <w:rsid w:val="00205B49"/>
    <w:rsid w:val="00206620"/>
    <w:rsid w:val="0020684D"/>
    <w:rsid w:val="002100B7"/>
    <w:rsid w:val="00210AB5"/>
    <w:rsid w:val="00211E24"/>
    <w:rsid w:val="002127E2"/>
    <w:rsid w:val="00212DD2"/>
    <w:rsid w:val="002130BF"/>
    <w:rsid w:val="0021366B"/>
    <w:rsid w:val="00213AEF"/>
    <w:rsid w:val="00213CCF"/>
    <w:rsid w:val="00215503"/>
    <w:rsid w:val="00216B01"/>
    <w:rsid w:val="00221C75"/>
    <w:rsid w:val="00222039"/>
    <w:rsid w:val="002241A2"/>
    <w:rsid w:val="00224CD8"/>
    <w:rsid w:val="00224E31"/>
    <w:rsid w:val="00224F2F"/>
    <w:rsid w:val="00225459"/>
    <w:rsid w:val="0022567F"/>
    <w:rsid w:val="0023055D"/>
    <w:rsid w:val="002308CA"/>
    <w:rsid w:val="002316B5"/>
    <w:rsid w:val="00231DA9"/>
    <w:rsid w:val="00232867"/>
    <w:rsid w:val="00232F0D"/>
    <w:rsid w:val="00232F6B"/>
    <w:rsid w:val="0023385E"/>
    <w:rsid w:val="00233F70"/>
    <w:rsid w:val="00234697"/>
    <w:rsid w:val="00236AA5"/>
    <w:rsid w:val="00236EC5"/>
    <w:rsid w:val="00240AE0"/>
    <w:rsid w:val="00242580"/>
    <w:rsid w:val="0024294B"/>
    <w:rsid w:val="00245FF6"/>
    <w:rsid w:val="0024755E"/>
    <w:rsid w:val="0024771C"/>
    <w:rsid w:val="0025135A"/>
    <w:rsid w:val="00251743"/>
    <w:rsid w:val="00252E97"/>
    <w:rsid w:val="002542BE"/>
    <w:rsid w:val="002561A3"/>
    <w:rsid w:val="00257EA4"/>
    <w:rsid w:val="00261D97"/>
    <w:rsid w:val="00261F23"/>
    <w:rsid w:val="002665A1"/>
    <w:rsid w:val="002716B4"/>
    <w:rsid w:val="0027234C"/>
    <w:rsid w:val="002729B0"/>
    <w:rsid w:val="0027556B"/>
    <w:rsid w:val="002764ED"/>
    <w:rsid w:val="002765E2"/>
    <w:rsid w:val="00276B50"/>
    <w:rsid w:val="00277099"/>
    <w:rsid w:val="0027743E"/>
    <w:rsid w:val="002774B4"/>
    <w:rsid w:val="00277C83"/>
    <w:rsid w:val="00277FCA"/>
    <w:rsid w:val="00280BE2"/>
    <w:rsid w:val="00281A5D"/>
    <w:rsid w:val="00282079"/>
    <w:rsid w:val="00282917"/>
    <w:rsid w:val="002829C4"/>
    <w:rsid w:val="002834CE"/>
    <w:rsid w:val="002834EA"/>
    <w:rsid w:val="00283A21"/>
    <w:rsid w:val="002841E8"/>
    <w:rsid w:val="00284F58"/>
    <w:rsid w:val="002850B6"/>
    <w:rsid w:val="00287B0D"/>
    <w:rsid w:val="00290CA3"/>
    <w:rsid w:val="00290D2E"/>
    <w:rsid w:val="00293717"/>
    <w:rsid w:val="00296C28"/>
    <w:rsid w:val="00296EF8"/>
    <w:rsid w:val="002A1D02"/>
    <w:rsid w:val="002A3061"/>
    <w:rsid w:val="002A35D7"/>
    <w:rsid w:val="002A6F15"/>
    <w:rsid w:val="002A7233"/>
    <w:rsid w:val="002A7653"/>
    <w:rsid w:val="002A76E1"/>
    <w:rsid w:val="002B0B7F"/>
    <w:rsid w:val="002B16D6"/>
    <w:rsid w:val="002B6A52"/>
    <w:rsid w:val="002B70FD"/>
    <w:rsid w:val="002B71B0"/>
    <w:rsid w:val="002B7F3E"/>
    <w:rsid w:val="002C06B9"/>
    <w:rsid w:val="002C0D47"/>
    <w:rsid w:val="002C2B4F"/>
    <w:rsid w:val="002C2C11"/>
    <w:rsid w:val="002C4B87"/>
    <w:rsid w:val="002C4C0D"/>
    <w:rsid w:val="002C4EE9"/>
    <w:rsid w:val="002C500E"/>
    <w:rsid w:val="002C5856"/>
    <w:rsid w:val="002C5983"/>
    <w:rsid w:val="002D0CFF"/>
    <w:rsid w:val="002D386D"/>
    <w:rsid w:val="002D3885"/>
    <w:rsid w:val="002D6240"/>
    <w:rsid w:val="002D63B9"/>
    <w:rsid w:val="002D71E0"/>
    <w:rsid w:val="002D7D7A"/>
    <w:rsid w:val="002E1989"/>
    <w:rsid w:val="002E356C"/>
    <w:rsid w:val="002E5F96"/>
    <w:rsid w:val="002E6EF3"/>
    <w:rsid w:val="002F01C0"/>
    <w:rsid w:val="002F0559"/>
    <w:rsid w:val="002F21FC"/>
    <w:rsid w:val="002F2431"/>
    <w:rsid w:val="002F277C"/>
    <w:rsid w:val="002F2C07"/>
    <w:rsid w:val="002F3D95"/>
    <w:rsid w:val="002F56B0"/>
    <w:rsid w:val="002F5814"/>
    <w:rsid w:val="00300EE7"/>
    <w:rsid w:val="003033C5"/>
    <w:rsid w:val="00304278"/>
    <w:rsid w:val="00304349"/>
    <w:rsid w:val="00305221"/>
    <w:rsid w:val="00305BC3"/>
    <w:rsid w:val="0030629B"/>
    <w:rsid w:val="003067A5"/>
    <w:rsid w:val="0030720B"/>
    <w:rsid w:val="003100DF"/>
    <w:rsid w:val="003101E4"/>
    <w:rsid w:val="003115D6"/>
    <w:rsid w:val="0031195E"/>
    <w:rsid w:val="00312F93"/>
    <w:rsid w:val="003138D1"/>
    <w:rsid w:val="00313A5C"/>
    <w:rsid w:val="00313EBF"/>
    <w:rsid w:val="003147F7"/>
    <w:rsid w:val="00315411"/>
    <w:rsid w:val="0031580A"/>
    <w:rsid w:val="003160B5"/>
    <w:rsid w:val="003160B8"/>
    <w:rsid w:val="00317DA5"/>
    <w:rsid w:val="00317E8A"/>
    <w:rsid w:val="00317F3F"/>
    <w:rsid w:val="003206B9"/>
    <w:rsid w:val="00320C42"/>
    <w:rsid w:val="00321F78"/>
    <w:rsid w:val="003223B8"/>
    <w:rsid w:val="00322B3F"/>
    <w:rsid w:val="003238A3"/>
    <w:rsid w:val="00324046"/>
    <w:rsid w:val="0032569B"/>
    <w:rsid w:val="003264D2"/>
    <w:rsid w:val="00327940"/>
    <w:rsid w:val="00330B32"/>
    <w:rsid w:val="00330DC3"/>
    <w:rsid w:val="0033245B"/>
    <w:rsid w:val="0033520C"/>
    <w:rsid w:val="00335EC5"/>
    <w:rsid w:val="00337720"/>
    <w:rsid w:val="00337BE9"/>
    <w:rsid w:val="00340220"/>
    <w:rsid w:val="00342F75"/>
    <w:rsid w:val="00343E5C"/>
    <w:rsid w:val="00344075"/>
    <w:rsid w:val="003448BF"/>
    <w:rsid w:val="00345817"/>
    <w:rsid w:val="00350C9B"/>
    <w:rsid w:val="0035112A"/>
    <w:rsid w:val="00351DC1"/>
    <w:rsid w:val="00352D1F"/>
    <w:rsid w:val="00352E21"/>
    <w:rsid w:val="00354116"/>
    <w:rsid w:val="00354ADD"/>
    <w:rsid w:val="00354C33"/>
    <w:rsid w:val="00354DDC"/>
    <w:rsid w:val="003552C8"/>
    <w:rsid w:val="00355CA4"/>
    <w:rsid w:val="00356809"/>
    <w:rsid w:val="003574AC"/>
    <w:rsid w:val="00357809"/>
    <w:rsid w:val="00357DAF"/>
    <w:rsid w:val="00361048"/>
    <w:rsid w:val="00361ADE"/>
    <w:rsid w:val="00362782"/>
    <w:rsid w:val="00362794"/>
    <w:rsid w:val="00363D91"/>
    <w:rsid w:val="003658C5"/>
    <w:rsid w:val="00365B71"/>
    <w:rsid w:val="00371B1B"/>
    <w:rsid w:val="003737C1"/>
    <w:rsid w:val="00373B57"/>
    <w:rsid w:val="0037454A"/>
    <w:rsid w:val="00375164"/>
    <w:rsid w:val="00375171"/>
    <w:rsid w:val="00376641"/>
    <w:rsid w:val="00376DDE"/>
    <w:rsid w:val="0037743D"/>
    <w:rsid w:val="00380F7F"/>
    <w:rsid w:val="003815C8"/>
    <w:rsid w:val="00381F89"/>
    <w:rsid w:val="00382ED5"/>
    <w:rsid w:val="00383601"/>
    <w:rsid w:val="00384B36"/>
    <w:rsid w:val="00384EF7"/>
    <w:rsid w:val="003872FE"/>
    <w:rsid w:val="00387417"/>
    <w:rsid w:val="003876EC"/>
    <w:rsid w:val="00390ACD"/>
    <w:rsid w:val="0039241A"/>
    <w:rsid w:val="00392812"/>
    <w:rsid w:val="00394072"/>
    <w:rsid w:val="0039434E"/>
    <w:rsid w:val="00394913"/>
    <w:rsid w:val="00394958"/>
    <w:rsid w:val="003950C2"/>
    <w:rsid w:val="003971F9"/>
    <w:rsid w:val="003A0EA1"/>
    <w:rsid w:val="003A12ED"/>
    <w:rsid w:val="003A28D1"/>
    <w:rsid w:val="003A41E4"/>
    <w:rsid w:val="003A5E87"/>
    <w:rsid w:val="003A5FD5"/>
    <w:rsid w:val="003A643E"/>
    <w:rsid w:val="003A7150"/>
    <w:rsid w:val="003B187F"/>
    <w:rsid w:val="003B1B3D"/>
    <w:rsid w:val="003B1D22"/>
    <w:rsid w:val="003B1F93"/>
    <w:rsid w:val="003B24FA"/>
    <w:rsid w:val="003B2D31"/>
    <w:rsid w:val="003B3A73"/>
    <w:rsid w:val="003B3E6E"/>
    <w:rsid w:val="003B4227"/>
    <w:rsid w:val="003B4CE6"/>
    <w:rsid w:val="003B6137"/>
    <w:rsid w:val="003B6379"/>
    <w:rsid w:val="003C198C"/>
    <w:rsid w:val="003C1AD2"/>
    <w:rsid w:val="003C3E3A"/>
    <w:rsid w:val="003C62A3"/>
    <w:rsid w:val="003C6817"/>
    <w:rsid w:val="003C7188"/>
    <w:rsid w:val="003C7700"/>
    <w:rsid w:val="003C7C12"/>
    <w:rsid w:val="003D3899"/>
    <w:rsid w:val="003D3BDD"/>
    <w:rsid w:val="003E0076"/>
    <w:rsid w:val="003E3E1F"/>
    <w:rsid w:val="003E437A"/>
    <w:rsid w:val="003E653A"/>
    <w:rsid w:val="003E6746"/>
    <w:rsid w:val="003F00E1"/>
    <w:rsid w:val="003F0A0B"/>
    <w:rsid w:val="003F0C03"/>
    <w:rsid w:val="003F0CEC"/>
    <w:rsid w:val="003F1E47"/>
    <w:rsid w:val="003F2165"/>
    <w:rsid w:val="003F297B"/>
    <w:rsid w:val="003F6BEE"/>
    <w:rsid w:val="003F6F96"/>
    <w:rsid w:val="004000B7"/>
    <w:rsid w:val="004006AB"/>
    <w:rsid w:val="00400970"/>
    <w:rsid w:val="00401A75"/>
    <w:rsid w:val="004023F2"/>
    <w:rsid w:val="00402BD0"/>
    <w:rsid w:val="00403D28"/>
    <w:rsid w:val="00404442"/>
    <w:rsid w:val="004050D8"/>
    <w:rsid w:val="00405BC2"/>
    <w:rsid w:val="00407FA5"/>
    <w:rsid w:val="00410332"/>
    <w:rsid w:val="00413E6D"/>
    <w:rsid w:val="0041464F"/>
    <w:rsid w:val="004149C6"/>
    <w:rsid w:val="00415071"/>
    <w:rsid w:val="00417468"/>
    <w:rsid w:val="0042244F"/>
    <w:rsid w:val="0042295B"/>
    <w:rsid w:val="00424299"/>
    <w:rsid w:val="0042540F"/>
    <w:rsid w:val="00426811"/>
    <w:rsid w:val="00426ACD"/>
    <w:rsid w:val="00426B10"/>
    <w:rsid w:val="00426C8C"/>
    <w:rsid w:val="0042748B"/>
    <w:rsid w:val="00427A49"/>
    <w:rsid w:val="00432693"/>
    <w:rsid w:val="00432D5E"/>
    <w:rsid w:val="0043494D"/>
    <w:rsid w:val="0043620A"/>
    <w:rsid w:val="0043726C"/>
    <w:rsid w:val="004377FB"/>
    <w:rsid w:val="00441495"/>
    <w:rsid w:val="00441F6B"/>
    <w:rsid w:val="00442505"/>
    <w:rsid w:val="0044319D"/>
    <w:rsid w:val="00443A27"/>
    <w:rsid w:val="00444672"/>
    <w:rsid w:val="00445252"/>
    <w:rsid w:val="004453F7"/>
    <w:rsid w:val="0044713D"/>
    <w:rsid w:val="00450293"/>
    <w:rsid w:val="00451196"/>
    <w:rsid w:val="00451443"/>
    <w:rsid w:val="00455B60"/>
    <w:rsid w:val="00455F5C"/>
    <w:rsid w:val="00456587"/>
    <w:rsid w:val="00456D26"/>
    <w:rsid w:val="004577F4"/>
    <w:rsid w:val="004611F5"/>
    <w:rsid w:val="00461723"/>
    <w:rsid w:val="00462BE6"/>
    <w:rsid w:val="004642BE"/>
    <w:rsid w:val="00464D6F"/>
    <w:rsid w:val="004651FC"/>
    <w:rsid w:val="004659DF"/>
    <w:rsid w:val="004673B3"/>
    <w:rsid w:val="0046752D"/>
    <w:rsid w:val="00467D8A"/>
    <w:rsid w:val="00470249"/>
    <w:rsid w:val="00471454"/>
    <w:rsid w:val="00471609"/>
    <w:rsid w:val="00472CA2"/>
    <w:rsid w:val="00472CB8"/>
    <w:rsid w:val="00473126"/>
    <w:rsid w:val="0047382A"/>
    <w:rsid w:val="0047385C"/>
    <w:rsid w:val="00474C91"/>
    <w:rsid w:val="00476B57"/>
    <w:rsid w:val="004808A5"/>
    <w:rsid w:val="00480DC6"/>
    <w:rsid w:val="0048100F"/>
    <w:rsid w:val="00481ADB"/>
    <w:rsid w:val="004846E8"/>
    <w:rsid w:val="00486422"/>
    <w:rsid w:val="00490AD1"/>
    <w:rsid w:val="00490F76"/>
    <w:rsid w:val="00492B72"/>
    <w:rsid w:val="00492D26"/>
    <w:rsid w:val="0049598A"/>
    <w:rsid w:val="004965A3"/>
    <w:rsid w:val="004A0079"/>
    <w:rsid w:val="004A09A7"/>
    <w:rsid w:val="004A0D5C"/>
    <w:rsid w:val="004A13AE"/>
    <w:rsid w:val="004A2103"/>
    <w:rsid w:val="004A29DD"/>
    <w:rsid w:val="004A3890"/>
    <w:rsid w:val="004A4AEE"/>
    <w:rsid w:val="004A4B48"/>
    <w:rsid w:val="004A4C3A"/>
    <w:rsid w:val="004A6FC4"/>
    <w:rsid w:val="004B2A7E"/>
    <w:rsid w:val="004B34A3"/>
    <w:rsid w:val="004B3C5D"/>
    <w:rsid w:val="004B4E38"/>
    <w:rsid w:val="004B53E1"/>
    <w:rsid w:val="004B6722"/>
    <w:rsid w:val="004B7154"/>
    <w:rsid w:val="004B7B0B"/>
    <w:rsid w:val="004C1531"/>
    <w:rsid w:val="004C3961"/>
    <w:rsid w:val="004C3F72"/>
    <w:rsid w:val="004C4935"/>
    <w:rsid w:val="004C5ED4"/>
    <w:rsid w:val="004C6890"/>
    <w:rsid w:val="004C742B"/>
    <w:rsid w:val="004C78BE"/>
    <w:rsid w:val="004D1B30"/>
    <w:rsid w:val="004D3DF0"/>
    <w:rsid w:val="004D44A4"/>
    <w:rsid w:val="004D4992"/>
    <w:rsid w:val="004D50CD"/>
    <w:rsid w:val="004D5CB2"/>
    <w:rsid w:val="004D617E"/>
    <w:rsid w:val="004D6F79"/>
    <w:rsid w:val="004D7228"/>
    <w:rsid w:val="004D7275"/>
    <w:rsid w:val="004D7613"/>
    <w:rsid w:val="004D7BAD"/>
    <w:rsid w:val="004E17ED"/>
    <w:rsid w:val="004E20E7"/>
    <w:rsid w:val="004E2698"/>
    <w:rsid w:val="004E3232"/>
    <w:rsid w:val="004E3757"/>
    <w:rsid w:val="004E3F72"/>
    <w:rsid w:val="004E6783"/>
    <w:rsid w:val="004E7158"/>
    <w:rsid w:val="004E7555"/>
    <w:rsid w:val="004E76CF"/>
    <w:rsid w:val="004E7D4F"/>
    <w:rsid w:val="004F01A3"/>
    <w:rsid w:val="004F176E"/>
    <w:rsid w:val="004F20C6"/>
    <w:rsid w:val="004F2BB7"/>
    <w:rsid w:val="004F4228"/>
    <w:rsid w:val="004F558D"/>
    <w:rsid w:val="004F718B"/>
    <w:rsid w:val="004F7908"/>
    <w:rsid w:val="0050186D"/>
    <w:rsid w:val="005037A4"/>
    <w:rsid w:val="00503864"/>
    <w:rsid w:val="00504073"/>
    <w:rsid w:val="00504C0C"/>
    <w:rsid w:val="00506716"/>
    <w:rsid w:val="00506F62"/>
    <w:rsid w:val="00507BE3"/>
    <w:rsid w:val="00510117"/>
    <w:rsid w:val="00510C9B"/>
    <w:rsid w:val="0051124A"/>
    <w:rsid w:val="00511564"/>
    <w:rsid w:val="00511AF7"/>
    <w:rsid w:val="00512B9E"/>
    <w:rsid w:val="0051356E"/>
    <w:rsid w:val="0051557C"/>
    <w:rsid w:val="005179C6"/>
    <w:rsid w:val="00517BEC"/>
    <w:rsid w:val="00521014"/>
    <w:rsid w:val="005223D6"/>
    <w:rsid w:val="005227B5"/>
    <w:rsid w:val="00523EFA"/>
    <w:rsid w:val="00524543"/>
    <w:rsid w:val="00524A8C"/>
    <w:rsid w:val="0052596B"/>
    <w:rsid w:val="005261B8"/>
    <w:rsid w:val="0052668F"/>
    <w:rsid w:val="00526726"/>
    <w:rsid w:val="00526C17"/>
    <w:rsid w:val="005272F4"/>
    <w:rsid w:val="00527825"/>
    <w:rsid w:val="00527ADA"/>
    <w:rsid w:val="00530196"/>
    <w:rsid w:val="00530646"/>
    <w:rsid w:val="00531578"/>
    <w:rsid w:val="00531E0A"/>
    <w:rsid w:val="00533443"/>
    <w:rsid w:val="0053378F"/>
    <w:rsid w:val="00533B9C"/>
    <w:rsid w:val="00534F3D"/>
    <w:rsid w:val="00535366"/>
    <w:rsid w:val="005361DC"/>
    <w:rsid w:val="00536E15"/>
    <w:rsid w:val="00537FAD"/>
    <w:rsid w:val="0054021E"/>
    <w:rsid w:val="0054233B"/>
    <w:rsid w:val="00544343"/>
    <w:rsid w:val="005462D0"/>
    <w:rsid w:val="005467AE"/>
    <w:rsid w:val="00546AC4"/>
    <w:rsid w:val="00547B00"/>
    <w:rsid w:val="00547F42"/>
    <w:rsid w:val="005523CD"/>
    <w:rsid w:val="00552A10"/>
    <w:rsid w:val="00552C68"/>
    <w:rsid w:val="00553B43"/>
    <w:rsid w:val="00553FB8"/>
    <w:rsid w:val="00554189"/>
    <w:rsid w:val="0055746B"/>
    <w:rsid w:val="0055794E"/>
    <w:rsid w:val="0056011A"/>
    <w:rsid w:val="00560341"/>
    <w:rsid w:val="0056188E"/>
    <w:rsid w:val="00562DE3"/>
    <w:rsid w:val="0056329F"/>
    <w:rsid w:val="00563CF7"/>
    <w:rsid w:val="005646DE"/>
    <w:rsid w:val="00564E7E"/>
    <w:rsid w:val="00565714"/>
    <w:rsid w:val="005658E4"/>
    <w:rsid w:val="0056616E"/>
    <w:rsid w:val="00567282"/>
    <w:rsid w:val="00570CF8"/>
    <w:rsid w:val="00571384"/>
    <w:rsid w:val="0057228A"/>
    <w:rsid w:val="00573992"/>
    <w:rsid w:val="00574D1B"/>
    <w:rsid w:val="005779BE"/>
    <w:rsid w:val="00577F66"/>
    <w:rsid w:val="00581DAC"/>
    <w:rsid w:val="00583A98"/>
    <w:rsid w:val="00583EAB"/>
    <w:rsid w:val="00585DEF"/>
    <w:rsid w:val="00586024"/>
    <w:rsid w:val="005862BF"/>
    <w:rsid w:val="005878FE"/>
    <w:rsid w:val="005879C3"/>
    <w:rsid w:val="005900BF"/>
    <w:rsid w:val="00592049"/>
    <w:rsid w:val="00592120"/>
    <w:rsid w:val="00592D51"/>
    <w:rsid w:val="00593888"/>
    <w:rsid w:val="00594D8A"/>
    <w:rsid w:val="00597412"/>
    <w:rsid w:val="005A09F2"/>
    <w:rsid w:val="005A177A"/>
    <w:rsid w:val="005A2CEE"/>
    <w:rsid w:val="005A3076"/>
    <w:rsid w:val="005A3717"/>
    <w:rsid w:val="005A3DEA"/>
    <w:rsid w:val="005A4283"/>
    <w:rsid w:val="005A4785"/>
    <w:rsid w:val="005A5A5B"/>
    <w:rsid w:val="005A5BB4"/>
    <w:rsid w:val="005A69EB"/>
    <w:rsid w:val="005B0317"/>
    <w:rsid w:val="005B2F95"/>
    <w:rsid w:val="005B3266"/>
    <w:rsid w:val="005B3BE8"/>
    <w:rsid w:val="005B7CA1"/>
    <w:rsid w:val="005C0030"/>
    <w:rsid w:val="005C0208"/>
    <w:rsid w:val="005C1464"/>
    <w:rsid w:val="005C275B"/>
    <w:rsid w:val="005C3584"/>
    <w:rsid w:val="005C3BBB"/>
    <w:rsid w:val="005C4161"/>
    <w:rsid w:val="005C519B"/>
    <w:rsid w:val="005C60B0"/>
    <w:rsid w:val="005C663F"/>
    <w:rsid w:val="005D1B88"/>
    <w:rsid w:val="005D1DD1"/>
    <w:rsid w:val="005D275F"/>
    <w:rsid w:val="005D41F4"/>
    <w:rsid w:val="005D4389"/>
    <w:rsid w:val="005D4590"/>
    <w:rsid w:val="005D47DB"/>
    <w:rsid w:val="005D493D"/>
    <w:rsid w:val="005D6E8F"/>
    <w:rsid w:val="005D72D2"/>
    <w:rsid w:val="005E13D5"/>
    <w:rsid w:val="005E223D"/>
    <w:rsid w:val="005E228C"/>
    <w:rsid w:val="005E33BB"/>
    <w:rsid w:val="005E423D"/>
    <w:rsid w:val="005E4EC7"/>
    <w:rsid w:val="005E630D"/>
    <w:rsid w:val="005E6397"/>
    <w:rsid w:val="005E688E"/>
    <w:rsid w:val="005E773E"/>
    <w:rsid w:val="005F0B85"/>
    <w:rsid w:val="005F1182"/>
    <w:rsid w:val="005F11E4"/>
    <w:rsid w:val="005F13CF"/>
    <w:rsid w:val="005F179F"/>
    <w:rsid w:val="005F1BC4"/>
    <w:rsid w:val="005F20D2"/>
    <w:rsid w:val="005F20F9"/>
    <w:rsid w:val="005F391E"/>
    <w:rsid w:val="005F3B17"/>
    <w:rsid w:val="005F4666"/>
    <w:rsid w:val="005F5D86"/>
    <w:rsid w:val="005F5DDA"/>
    <w:rsid w:val="005F6D1F"/>
    <w:rsid w:val="005F7207"/>
    <w:rsid w:val="005F7283"/>
    <w:rsid w:val="005F7295"/>
    <w:rsid w:val="00600DA4"/>
    <w:rsid w:val="00602D85"/>
    <w:rsid w:val="00603045"/>
    <w:rsid w:val="0060358A"/>
    <w:rsid w:val="0060568C"/>
    <w:rsid w:val="0060648E"/>
    <w:rsid w:val="00606CDD"/>
    <w:rsid w:val="00607640"/>
    <w:rsid w:val="006102BB"/>
    <w:rsid w:val="00611A9C"/>
    <w:rsid w:val="00612488"/>
    <w:rsid w:val="00613FC0"/>
    <w:rsid w:val="0061615E"/>
    <w:rsid w:val="0061666E"/>
    <w:rsid w:val="00616B5B"/>
    <w:rsid w:val="00620223"/>
    <w:rsid w:val="00620CEA"/>
    <w:rsid w:val="0062202A"/>
    <w:rsid w:val="006222D6"/>
    <w:rsid w:val="00622645"/>
    <w:rsid w:val="006231A6"/>
    <w:rsid w:val="006246F3"/>
    <w:rsid w:val="00624C67"/>
    <w:rsid w:val="00624FB6"/>
    <w:rsid w:val="0062533E"/>
    <w:rsid w:val="006254CE"/>
    <w:rsid w:val="00626EAF"/>
    <w:rsid w:val="00627ABD"/>
    <w:rsid w:val="00627D3B"/>
    <w:rsid w:val="00632124"/>
    <w:rsid w:val="00633008"/>
    <w:rsid w:val="006345D8"/>
    <w:rsid w:val="00634DDB"/>
    <w:rsid w:val="00634E91"/>
    <w:rsid w:val="00634F08"/>
    <w:rsid w:val="0063661D"/>
    <w:rsid w:val="0063701A"/>
    <w:rsid w:val="0064074B"/>
    <w:rsid w:val="00640B11"/>
    <w:rsid w:val="00640C5D"/>
    <w:rsid w:val="006412DD"/>
    <w:rsid w:val="0064198D"/>
    <w:rsid w:val="00642185"/>
    <w:rsid w:val="006422F8"/>
    <w:rsid w:val="006424B3"/>
    <w:rsid w:val="00644AC6"/>
    <w:rsid w:val="006452B9"/>
    <w:rsid w:val="00645C87"/>
    <w:rsid w:val="0064665F"/>
    <w:rsid w:val="006478B8"/>
    <w:rsid w:val="00647EC7"/>
    <w:rsid w:val="00650168"/>
    <w:rsid w:val="006502B5"/>
    <w:rsid w:val="00650DE0"/>
    <w:rsid w:val="00651486"/>
    <w:rsid w:val="00651803"/>
    <w:rsid w:val="00652046"/>
    <w:rsid w:val="006526C7"/>
    <w:rsid w:val="00652DC5"/>
    <w:rsid w:val="00653A27"/>
    <w:rsid w:val="00655F6C"/>
    <w:rsid w:val="00657A89"/>
    <w:rsid w:val="00657C60"/>
    <w:rsid w:val="00657C84"/>
    <w:rsid w:val="00661C33"/>
    <w:rsid w:val="00662293"/>
    <w:rsid w:val="00663438"/>
    <w:rsid w:val="00663E84"/>
    <w:rsid w:val="0066492F"/>
    <w:rsid w:val="0066542A"/>
    <w:rsid w:val="0066618D"/>
    <w:rsid w:val="0066730B"/>
    <w:rsid w:val="0066742F"/>
    <w:rsid w:val="00671ABF"/>
    <w:rsid w:val="00673450"/>
    <w:rsid w:val="00673F65"/>
    <w:rsid w:val="00674246"/>
    <w:rsid w:val="00682A86"/>
    <w:rsid w:val="00682E3D"/>
    <w:rsid w:val="00682ED3"/>
    <w:rsid w:val="00683161"/>
    <w:rsid w:val="0068372A"/>
    <w:rsid w:val="006854A9"/>
    <w:rsid w:val="00686096"/>
    <w:rsid w:val="00686D7C"/>
    <w:rsid w:val="006903B1"/>
    <w:rsid w:val="00693C60"/>
    <w:rsid w:val="00694AA1"/>
    <w:rsid w:val="0069676E"/>
    <w:rsid w:val="00696DAE"/>
    <w:rsid w:val="0069724B"/>
    <w:rsid w:val="006A218D"/>
    <w:rsid w:val="006A3BC8"/>
    <w:rsid w:val="006A4895"/>
    <w:rsid w:val="006A4D42"/>
    <w:rsid w:val="006A53D9"/>
    <w:rsid w:val="006A5BA0"/>
    <w:rsid w:val="006A6451"/>
    <w:rsid w:val="006A7A52"/>
    <w:rsid w:val="006B1179"/>
    <w:rsid w:val="006B1CDA"/>
    <w:rsid w:val="006B3B39"/>
    <w:rsid w:val="006B3C87"/>
    <w:rsid w:val="006B3E5D"/>
    <w:rsid w:val="006B3EDE"/>
    <w:rsid w:val="006B4CE7"/>
    <w:rsid w:val="006B5ACD"/>
    <w:rsid w:val="006B60EB"/>
    <w:rsid w:val="006B6DA5"/>
    <w:rsid w:val="006B793F"/>
    <w:rsid w:val="006C037D"/>
    <w:rsid w:val="006C07F0"/>
    <w:rsid w:val="006C1DAA"/>
    <w:rsid w:val="006C1E29"/>
    <w:rsid w:val="006C2961"/>
    <w:rsid w:val="006C31D7"/>
    <w:rsid w:val="006C37DF"/>
    <w:rsid w:val="006C4655"/>
    <w:rsid w:val="006C4EE7"/>
    <w:rsid w:val="006C71A1"/>
    <w:rsid w:val="006C78E4"/>
    <w:rsid w:val="006D49B3"/>
    <w:rsid w:val="006D4BC3"/>
    <w:rsid w:val="006D4C50"/>
    <w:rsid w:val="006D4EA6"/>
    <w:rsid w:val="006D741F"/>
    <w:rsid w:val="006D7799"/>
    <w:rsid w:val="006E1F8D"/>
    <w:rsid w:val="006E345B"/>
    <w:rsid w:val="006E52F5"/>
    <w:rsid w:val="006E5DFC"/>
    <w:rsid w:val="006E7CF8"/>
    <w:rsid w:val="006F054A"/>
    <w:rsid w:val="006F2C99"/>
    <w:rsid w:val="006F392C"/>
    <w:rsid w:val="006F520A"/>
    <w:rsid w:val="006F7164"/>
    <w:rsid w:val="006F74B6"/>
    <w:rsid w:val="00702444"/>
    <w:rsid w:val="00702891"/>
    <w:rsid w:val="00702B50"/>
    <w:rsid w:val="00703244"/>
    <w:rsid w:val="0070356F"/>
    <w:rsid w:val="00704041"/>
    <w:rsid w:val="00705D7F"/>
    <w:rsid w:val="00707F2E"/>
    <w:rsid w:val="00711ACD"/>
    <w:rsid w:val="00712C2F"/>
    <w:rsid w:val="00713A35"/>
    <w:rsid w:val="00715747"/>
    <w:rsid w:val="00716CFC"/>
    <w:rsid w:val="00717041"/>
    <w:rsid w:val="00720030"/>
    <w:rsid w:val="00720D55"/>
    <w:rsid w:val="00723EEB"/>
    <w:rsid w:val="00724052"/>
    <w:rsid w:val="00724B75"/>
    <w:rsid w:val="00725D03"/>
    <w:rsid w:val="00726B3F"/>
    <w:rsid w:val="00726CDE"/>
    <w:rsid w:val="00730D95"/>
    <w:rsid w:val="00731B5F"/>
    <w:rsid w:val="00731C56"/>
    <w:rsid w:val="00732DC1"/>
    <w:rsid w:val="0073318C"/>
    <w:rsid w:val="00733DB4"/>
    <w:rsid w:val="00734260"/>
    <w:rsid w:val="00736936"/>
    <w:rsid w:val="00737BB4"/>
    <w:rsid w:val="00741F63"/>
    <w:rsid w:val="00744E05"/>
    <w:rsid w:val="0074649B"/>
    <w:rsid w:val="00746823"/>
    <w:rsid w:val="00746DBD"/>
    <w:rsid w:val="00747032"/>
    <w:rsid w:val="00750B49"/>
    <w:rsid w:val="00754137"/>
    <w:rsid w:val="00755CC7"/>
    <w:rsid w:val="00757027"/>
    <w:rsid w:val="007572D3"/>
    <w:rsid w:val="0076060E"/>
    <w:rsid w:val="0076146F"/>
    <w:rsid w:val="00761654"/>
    <w:rsid w:val="00762768"/>
    <w:rsid w:val="00762F8D"/>
    <w:rsid w:val="007653D0"/>
    <w:rsid w:val="007658D8"/>
    <w:rsid w:val="007668AA"/>
    <w:rsid w:val="00766A1C"/>
    <w:rsid w:val="0076712D"/>
    <w:rsid w:val="00767205"/>
    <w:rsid w:val="00767613"/>
    <w:rsid w:val="0076764D"/>
    <w:rsid w:val="0076781B"/>
    <w:rsid w:val="00770C42"/>
    <w:rsid w:val="007736F7"/>
    <w:rsid w:val="00773DC7"/>
    <w:rsid w:val="007743C6"/>
    <w:rsid w:val="00774F9A"/>
    <w:rsid w:val="00775450"/>
    <w:rsid w:val="007757AA"/>
    <w:rsid w:val="0077643C"/>
    <w:rsid w:val="00776CA5"/>
    <w:rsid w:val="007773E2"/>
    <w:rsid w:val="00780478"/>
    <w:rsid w:val="00780B5E"/>
    <w:rsid w:val="0078248B"/>
    <w:rsid w:val="0078253D"/>
    <w:rsid w:val="0078758E"/>
    <w:rsid w:val="00790727"/>
    <w:rsid w:val="00792548"/>
    <w:rsid w:val="00793F5E"/>
    <w:rsid w:val="0079546B"/>
    <w:rsid w:val="007955AE"/>
    <w:rsid w:val="00795EBF"/>
    <w:rsid w:val="007965D9"/>
    <w:rsid w:val="007967C2"/>
    <w:rsid w:val="007A28C7"/>
    <w:rsid w:val="007A3F0A"/>
    <w:rsid w:val="007A4441"/>
    <w:rsid w:val="007A45C9"/>
    <w:rsid w:val="007A477F"/>
    <w:rsid w:val="007A4C9F"/>
    <w:rsid w:val="007A589D"/>
    <w:rsid w:val="007A5D95"/>
    <w:rsid w:val="007A676E"/>
    <w:rsid w:val="007A7C27"/>
    <w:rsid w:val="007A7FF5"/>
    <w:rsid w:val="007B19D8"/>
    <w:rsid w:val="007B361F"/>
    <w:rsid w:val="007B3BAA"/>
    <w:rsid w:val="007B5D02"/>
    <w:rsid w:val="007B62CB"/>
    <w:rsid w:val="007B6B08"/>
    <w:rsid w:val="007C095C"/>
    <w:rsid w:val="007C0B55"/>
    <w:rsid w:val="007C1289"/>
    <w:rsid w:val="007C2C34"/>
    <w:rsid w:val="007C7AC4"/>
    <w:rsid w:val="007D06EA"/>
    <w:rsid w:val="007D07FB"/>
    <w:rsid w:val="007D2026"/>
    <w:rsid w:val="007D2C30"/>
    <w:rsid w:val="007D6B62"/>
    <w:rsid w:val="007E0087"/>
    <w:rsid w:val="007E55A2"/>
    <w:rsid w:val="007E6B8D"/>
    <w:rsid w:val="007E7A10"/>
    <w:rsid w:val="007F08F7"/>
    <w:rsid w:val="007F18F7"/>
    <w:rsid w:val="007F1FBA"/>
    <w:rsid w:val="007F3AF2"/>
    <w:rsid w:val="007F4328"/>
    <w:rsid w:val="007F50E3"/>
    <w:rsid w:val="007F547C"/>
    <w:rsid w:val="007F57F4"/>
    <w:rsid w:val="007F754F"/>
    <w:rsid w:val="0080219F"/>
    <w:rsid w:val="008027D2"/>
    <w:rsid w:val="00802DF7"/>
    <w:rsid w:val="0080319C"/>
    <w:rsid w:val="00804FDA"/>
    <w:rsid w:val="00805002"/>
    <w:rsid w:val="00805041"/>
    <w:rsid w:val="00806E70"/>
    <w:rsid w:val="008102D6"/>
    <w:rsid w:val="0081189B"/>
    <w:rsid w:val="00811BAF"/>
    <w:rsid w:val="00811EAC"/>
    <w:rsid w:val="00813511"/>
    <w:rsid w:val="008147F6"/>
    <w:rsid w:val="00814D58"/>
    <w:rsid w:val="00815529"/>
    <w:rsid w:val="008161BF"/>
    <w:rsid w:val="00816E04"/>
    <w:rsid w:val="00817969"/>
    <w:rsid w:val="00821673"/>
    <w:rsid w:val="00821C4B"/>
    <w:rsid w:val="00822AF2"/>
    <w:rsid w:val="008235CC"/>
    <w:rsid w:val="008244F8"/>
    <w:rsid w:val="00825D0A"/>
    <w:rsid w:val="008263F1"/>
    <w:rsid w:val="008277D4"/>
    <w:rsid w:val="008279D9"/>
    <w:rsid w:val="00830495"/>
    <w:rsid w:val="008304A3"/>
    <w:rsid w:val="00831C2A"/>
    <w:rsid w:val="00831F15"/>
    <w:rsid w:val="0083310D"/>
    <w:rsid w:val="0083348C"/>
    <w:rsid w:val="008334F6"/>
    <w:rsid w:val="008344A0"/>
    <w:rsid w:val="00840BC8"/>
    <w:rsid w:val="00840C95"/>
    <w:rsid w:val="00841267"/>
    <w:rsid w:val="00842285"/>
    <w:rsid w:val="00842886"/>
    <w:rsid w:val="00844173"/>
    <w:rsid w:val="0084580C"/>
    <w:rsid w:val="00845E6B"/>
    <w:rsid w:val="00846869"/>
    <w:rsid w:val="008468BD"/>
    <w:rsid w:val="00846BF7"/>
    <w:rsid w:val="00846F7E"/>
    <w:rsid w:val="008478EB"/>
    <w:rsid w:val="00847EA0"/>
    <w:rsid w:val="00851757"/>
    <w:rsid w:val="00853B7E"/>
    <w:rsid w:val="00853DE2"/>
    <w:rsid w:val="00854D06"/>
    <w:rsid w:val="0085521A"/>
    <w:rsid w:val="00855587"/>
    <w:rsid w:val="008555D5"/>
    <w:rsid w:val="0085682D"/>
    <w:rsid w:val="008577D5"/>
    <w:rsid w:val="00857FC5"/>
    <w:rsid w:val="008607D6"/>
    <w:rsid w:val="00861029"/>
    <w:rsid w:val="00862551"/>
    <w:rsid w:val="00862C45"/>
    <w:rsid w:val="00864082"/>
    <w:rsid w:val="0086687B"/>
    <w:rsid w:val="00867121"/>
    <w:rsid w:val="0087013C"/>
    <w:rsid w:val="00873082"/>
    <w:rsid w:val="008730CE"/>
    <w:rsid w:val="008732AC"/>
    <w:rsid w:val="00873649"/>
    <w:rsid w:val="00873895"/>
    <w:rsid w:val="00873CDD"/>
    <w:rsid w:val="0087447A"/>
    <w:rsid w:val="008752E3"/>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2550"/>
    <w:rsid w:val="00893A74"/>
    <w:rsid w:val="00893AAD"/>
    <w:rsid w:val="0089557F"/>
    <w:rsid w:val="0089603A"/>
    <w:rsid w:val="00896DEC"/>
    <w:rsid w:val="008A06D1"/>
    <w:rsid w:val="008A072B"/>
    <w:rsid w:val="008A1235"/>
    <w:rsid w:val="008A160D"/>
    <w:rsid w:val="008A2FEA"/>
    <w:rsid w:val="008A4C7D"/>
    <w:rsid w:val="008B0F0B"/>
    <w:rsid w:val="008B11C7"/>
    <w:rsid w:val="008B1612"/>
    <w:rsid w:val="008B1CDB"/>
    <w:rsid w:val="008B1D7C"/>
    <w:rsid w:val="008B2092"/>
    <w:rsid w:val="008B3856"/>
    <w:rsid w:val="008B3F28"/>
    <w:rsid w:val="008B41F7"/>
    <w:rsid w:val="008B4FFB"/>
    <w:rsid w:val="008B6FDF"/>
    <w:rsid w:val="008B7D28"/>
    <w:rsid w:val="008B7F12"/>
    <w:rsid w:val="008C058F"/>
    <w:rsid w:val="008C0BAF"/>
    <w:rsid w:val="008C123D"/>
    <w:rsid w:val="008C13A5"/>
    <w:rsid w:val="008C77BD"/>
    <w:rsid w:val="008D1096"/>
    <w:rsid w:val="008D1FE7"/>
    <w:rsid w:val="008D2B45"/>
    <w:rsid w:val="008D40FD"/>
    <w:rsid w:val="008D48EF"/>
    <w:rsid w:val="008E15F6"/>
    <w:rsid w:val="008E2954"/>
    <w:rsid w:val="008E3018"/>
    <w:rsid w:val="008E3239"/>
    <w:rsid w:val="008E3289"/>
    <w:rsid w:val="008E3973"/>
    <w:rsid w:val="008E618C"/>
    <w:rsid w:val="008F12A9"/>
    <w:rsid w:val="008F18B9"/>
    <w:rsid w:val="008F26E6"/>
    <w:rsid w:val="008F29D8"/>
    <w:rsid w:val="008F2BBC"/>
    <w:rsid w:val="008F3F8A"/>
    <w:rsid w:val="008F63EC"/>
    <w:rsid w:val="008F6DEB"/>
    <w:rsid w:val="009002E1"/>
    <w:rsid w:val="00901708"/>
    <w:rsid w:val="00901782"/>
    <w:rsid w:val="00901C95"/>
    <w:rsid w:val="00903213"/>
    <w:rsid w:val="0090369D"/>
    <w:rsid w:val="009036B1"/>
    <w:rsid w:val="009042BB"/>
    <w:rsid w:val="00904EB6"/>
    <w:rsid w:val="009055B2"/>
    <w:rsid w:val="009060CF"/>
    <w:rsid w:val="00906927"/>
    <w:rsid w:val="00907215"/>
    <w:rsid w:val="009107D0"/>
    <w:rsid w:val="0091123D"/>
    <w:rsid w:val="00911BE2"/>
    <w:rsid w:val="009130C6"/>
    <w:rsid w:val="00913148"/>
    <w:rsid w:val="00913BA9"/>
    <w:rsid w:val="00914447"/>
    <w:rsid w:val="0091504F"/>
    <w:rsid w:val="009154CE"/>
    <w:rsid w:val="00920B84"/>
    <w:rsid w:val="009213D2"/>
    <w:rsid w:val="0092238B"/>
    <w:rsid w:val="009223BE"/>
    <w:rsid w:val="009226BD"/>
    <w:rsid w:val="00922898"/>
    <w:rsid w:val="0092343A"/>
    <w:rsid w:val="00926946"/>
    <w:rsid w:val="00926D90"/>
    <w:rsid w:val="0092798B"/>
    <w:rsid w:val="00930E0B"/>
    <w:rsid w:val="00931179"/>
    <w:rsid w:val="009311D7"/>
    <w:rsid w:val="009334CF"/>
    <w:rsid w:val="00933E04"/>
    <w:rsid w:val="009341F1"/>
    <w:rsid w:val="00934B1E"/>
    <w:rsid w:val="00934C68"/>
    <w:rsid w:val="009358FB"/>
    <w:rsid w:val="00936735"/>
    <w:rsid w:val="00940A11"/>
    <w:rsid w:val="00942B3A"/>
    <w:rsid w:val="0094497A"/>
    <w:rsid w:val="00946142"/>
    <w:rsid w:val="00946540"/>
    <w:rsid w:val="009502AD"/>
    <w:rsid w:val="0095039C"/>
    <w:rsid w:val="009503C9"/>
    <w:rsid w:val="0095156C"/>
    <w:rsid w:val="009526D8"/>
    <w:rsid w:val="00952756"/>
    <w:rsid w:val="00953B2D"/>
    <w:rsid w:val="0095463E"/>
    <w:rsid w:val="00954FA3"/>
    <w:rsid w:val="00956902"/>
    <w:rsid w:val="0096043D"/>
    <w:rsid w:val="00962069"/>
    <w:rsid w:val="00963FB8"/>
    <w:rsid w:val="00965A47"/>
    <w:rsid w:val="00966B1D"/>
    <w:rsid w:val="00970C5A"/>
    <w:rsid w:val="00970CE2"/>
    <w:rsid w:val="0097281C"/>
    <w:rsid w:val="0097348A"/>
    <w:rsid w:val="009735BF"/>
    <w:rsid w:val="00973F23"/>
    <w:rsid w:val="00976D42"/>
    <w:rsid w:val="00976D98"/>
    <w:rsid w:val="00980637"/>
    <w:rsid w:val="0098067F"/>
    <w:rsid w:val="00981C65"/>
    <w:rsid w:val="00984228"/>
    <w:rsid w:val="00984EBD"/>
    <w:rsid w:val="009851CA"/>
    <w:rsid w:val="00985C57"/>
    <w:rsid w:val="009864C6"/>
    <w:rsid w:val="00986AD9"/>
    <w:rsid w:val="00986C1D"/>
    <w:rsid w:val="00990634"/>
    <w:rsid w:val="00992AC4"/>
    <w:rsid w:val="00993578"/>
    <w:rsid w:val="00994DE3"/>
    <w:rsid w:val="00994E53"/>
    <w:rsid w:val="00996989"/>
    <w:rsid w:val="00997783"/>
    <w:rsid w:val="0099787F"/>
    <w:rsid w:val="009A03F3"/>
    <w:rsid w:val="009A1157"/>
    <w:rsid w:val="009A1E27"/>
    <w:rsid w:val="009A3C06"/>
    <w:rsid w:val="009A3D47"/>
    <w:rsid w:val="009B0466"/>
    <w:rsid w:val="009B081F"/>
    <w:rsid w:val="009B19B1"/>
    <w:rsid w:val="009B2072"/>
    <w:rsid w:val="009B2F7E"/>
    <w:rsid w:val="009B30EC"/>
    <w:rsid w:val="009B358D"/>
    <w:rsid w:val="009B3D40"/>
    <w:rsid w:val="009B3DCA"/>
    <w:rsid w:val="009B49C9"/>
    <w:rsid w:val="009B54E5"/>
    <w:rsid w:val="009B6922"/>
    <w:rsid w:val="009B7C54"/>
    <w:rsid w:val="009C1CE9"/>
    <w:rsid w:val="009C24A3"/>
    <w:rsid w:val="009C2FFA"/>
    <w:rsid w:val="009C4606"/>
    <w:rsid w:val="009C4690"/>
    <w:rsid w:val="009C58A5"/>
    <w:rsid w:val="009D01CF"/>
    <w:rsid w:val="009D0335"/>
    <w:rsid w:val="009D0FF8"/>
    <w:rsid w:val="009D1A4C"/>
    <w:rsid w:val="009D1A8E"/>
    <w:rsid w:val="009D3089"/>
    <w:rsid w:val="009D440D"/>
    <w:rsid w:val="009D491C"/>
    <w:rsid w:val="009D5CEC"/>
    <w:rsid w:val="009E09B0"/>
    <w:rsid w:val="009E122E"/>
    <w:rsid w:val="009E17EE"/>
    <w:rsid w:val="009E18D3"/>
    <w:rsid w:val="009E2812"/>
    <w:rsid w:val="009E4714"/>
    <w:rsid w:val="009E4AB1"/>
    <w:rsid w:val="009E4DC5"/>
    <w:rsid w:val="009E512E"/>
    <w:rsid w:val="009E7877"/>
    <w:rsid w:val="009F02EF"/>
    <w:rsid w:val="009F1196"/>
    <w:rsid w:val="009F1C36"/>
    <w:rsid w:val="009F3888"/>
    <w:rsid w:val="009F3B35"/>
    <w:rsid w:val="009F42A6"/>
    <w:rsid w:val="009F60FA"/>
    <w:rsid w:val="009F67BB"/>
    <w:rsid w:val="009F6D51"/>
    <w:rsid w:val="009F7B59"/>
    <w:rsid w:val="009F7F91"/>
    <w:rsid w:val="00A01157"/>
    <w:rsid w:val="00A012A2"/>
    <w:rsid w:val="00A01869"/>
    <w:rsid w:val="00A029DE"/>
    <w:rsid w:val="00A04DEA"/>
    <w:rsid w:val="00A057F8"/>
    <w:rsid w:val="00A07E14"/>
    <w:rsid w:val="00A10A22"/>
    <w:rsid w:val="00A10CF5"/>
    <w:rsid w:val="00A115D4"/>
    <w:rsid w:val="00A117D2"/>
    <w:rsid w:val="00A12650"/>
    <w:rsid w:val="00A12FF6"/>
    <w:rsid w:val="00A16261"/>
    <w:rsid w:val="00A167A6"/>
    <w:rsid w:val="00A1712B"/>
    <w:rsid w:val="00A175D9"/>
    <w:rsid w:val="00A21D10"/>
    <w:rsid w:val="00A21D86"/>
    <w:rsid w:val="00A22B3B"/>
    <w:rsid w:val="00A236F4"/>
    <w:rsid w:val="00A23A17"/>
    <w:rsid w:val="00A24042"/>
    <w:rsid w:val="00A24D03"/>
    <w:rsid w:val="00A2696F"/>
    <w:rsid w:val="00A30362"/>
    <w:rsid w:val="00A33491"/>
    <w:rsid w:val="00A33783"/>
    <w:rsid w:val="00A337D6"/>
    <w:rsid w:val="00A347D8"/>
    <w:rsid w:val="00A357CA"/>
    <w:rsid w:val="00A3591E"/>
    <w:rsid w:val="00A35E09"/>
    <w:rsid w:val="00A36621"/>
    <w:rsid w:val="00A372A5"/>
    <w:rsid w:val="00A375AE"/>
    <w:rsid w:val="00A37F33"/>
    <w:rsid w:val="00A40F5D"/>
    <w:rsid w:val="00A40F87"/>
    <w:rsid w:val="00A414DC"/>
    <w:rsid w:val="00A41FEC"/>
    <w:rsid w:val="00A42308"/>
    <w:rsid w:val="00A433A8"/>
    <w:rsid w:val="00A4476F"/>
    <w:rsid w:val="00A463F7"/>
    <w:rsid w:val="00A47694"/>
    <w:rsid w:val="00A511A9"/>
    <w:rsid w:val="00A51634"/>
    <w:rsid w:val="00A53280"/>
    <w:rsid w:val="00A533F5"/>
    <w:rsid w:val="00A53B41"/>
    <w:rsid w:val="00A54662"/>
    <w:rsid w:val="00A54693"/>
    <w:rsid w:val="00A546CB"/>
    <w:rsid w:val="00A551FA"/>
    <w:rsid w:val="00A55825"/>
    <w:rsid w:val="00A56A74"/>
    <w:rsid w:val="00A57359"/>
    <w:rsid w:val="00A57AC9"/>
    <w:rsid w:val="00A57BE8"/>
    <w:rsid w:val="00A61521"/>
    <w:rsid w:val="00A62B5D"/>
    <w:rsid w:val="00A62F3C"/>
    <w:rsid w:val="00A64125"/>
    <w:rsid w:val="00A662CC"/>
    <w:rsid w:val="00A675D0"/>
    <w:rsid w:val="00A679DF"/>
    <w:rsid w:val="00A72424"/>
    <w:rsid w:val="00A725FC"/>
    <w:rsid w:val="00A72B29"/>
    <w:rsid w:val="00A7334B"/>
    <w:rsid w:val="00A745C2"/>
    <w:rsid w:val="00A74E09"/>
    <w:rsid w:val="00A76383"/>
    <w:rsid w:val="00A76CDC"/>
    <w:rsid w:val="00A76EC9"/>
    <w:rsid w:val="00A772E6"/>
    <w:rsid w:val="00A804B1"/>
    <w:rsid w:val="00A8291E"/>
    <w:rsid w:val="00A84996"/>
    <w:rsid w:val="00A862EB"/>
    <w:rsid w:val="00A87C45"/>
    <w:rsid w:val="00A912A6"/>
    <w:rsid w:val="00A91AB4"/>
    <w:rsid w:val="00A92765"/>
    <w:rsid w:val="00A929CF"/>
    <w:rsid w:val="00A92FE4"/>
    <w:rsid w:val="00A93C12"/>
    <w:rsid w:val="00A94622"/>
    <w:rsid w:val="00A95D41"/>
    <w:rsid w:val="00A96D82"/>
    <w:rsid w:val="00A96ECA"/>
    <w:rsid w:val="00A96EEE"/>
    <w:rsid w:val="00A97810"/>
    <w:rsid w:val="00A97EB2"/>
    <w:rsid w:val="00AA0FDB"/>
    <w:rsid w:val="00AA1518"/>
    <w:rsid w:val="00AA2C9F"/>
    <w:rsid w:val="00AA2FAD"/>
    <w:rsid w:val="00AA3923"/>
    <w:rsid w:val="00AA3AE4"/>
    <w:rsid w:val="00AA6879"/>
    <w:rsid w:val="00AA6B56"/>
    <w:rsid w:val="00AA7C72"/>
    <w:rsid w:val="00AB1C7C"/>
    <w:rsid w:val="00AB1E44"/>
    <w:rsid w:val="00AB2E69"/>
    <w:rsid w:val="00AB36AC"/>
    <w:rsid w:val="00AB3EAF"/>
    <w:rsid w:val="00AB4A2F"/>
    <w:rsid w:val="00AB7DD0"/>
    <w:rsid w:val="00AC1498"/>
    <w:rsid w:val="00AC1E6E"/>
    <w:rsid w:val="00AC2394"/>
    <w:rsid w:val="00AC27DF"/>
    <w:rsid w:val="00AC2CB2"/>
    <w:rsid w:val="00AC2FBB"/>
    <w:rsid w:val="00AC32ED"/>
    <w:rsid w:val="00AC3440"/>
    <w:rsid w:val="00AC346B"/>
    <w:rsid w:val="00AC3A86"/>
    <w:rsid w:val="00AC5B93"/>
    <w:rsid w:val="00AC6CEF"/>
    <w:rsid w:val="00AC6FAE"/>
    <w:rsid w:val="00AC72E7"/>
    <w:rsid w:val="00AC7DFE"/>
    <w:rsid w:val="00AD0BC0"/>
    <w:rsid w:val="00AD0E13"/>
    <w:rsid w:val="00AD1B7A"/>
    <w:rsid w:val="00AD1BD0"/>
    <w:rsid w:val="00AD1D7F"/>
    <w:rsid w:val="00AD619E"/>
    <w:rsid w:val="00AD6479"/>
    <w:rsid w:val="00AD78BC"/>
    <w:rsid w:val="00AE0695"/>
    <w:rsid w:val="00AE0C7B"/>
    <w:rsid w:val="00AE14BD"/>
    <w:rsid w:val="00AE18FC"/>
    <w:rsid w:val="00AE2366"/>
    <w:rsid w:val="00AE25D6"/>
    <w:rsid w:val="00AE2AB9"/>
    <w:rsid w:val="00AE3417"/>
    <w:rsid w:val="00AE3736"/>
    <w:rsid w:val="00AE40D1"/>
    <w:rsid w:val="00AE72D3"/>
    <w:rsid w:val="00AE7489"/>
    <w:rsid w:val="00AE7795"/>
    <w:rsid w:val="00AF0E71"/>
    <w:rsid w:val="00AF1E49"/>
    <w:rsid w:val="00AF2ED9"/>
    <w:rsid w:val="00AF33CC"/>
    <w:rsid w:val="00AF3C6B"/>
    <w:rsid w:val="00AF464A"/>
    <w:rsid w:val="00AF4D11"/>
    <w:rsid w:val="00AF584F"/>
    <w:rsid w:val="00AF60A7"/>
    <w:rsid w:val="00AF6BE9"/>
    <w:rsid w:val="00AF79C9"/>
    <w:rsid w:val="00B027E9"/>
    <w:rsid w:val="00B03BD3"/>
    <w:rsid w:val="00B03D8D"/>
    <w:rsid w:val="00B0437E"/>
    <w:rsid w:val="00B046EF"/>
    <w:rsid w:val="00B04BA9"/>
    <w:rsid w:val="00B050EA"/>
    <w:rsid w:val="00B068ED"/>
    <w:rsid w:val="00B07992"/>
    <w:rsid w:val="00B07C09"/>
    <w:rsid w:val="00B07D0C"/>
    <w:rsid w:val="00B10426"/>
    <w:rsid w:val="00B1094A"/>
    <w:rsid w:val="00B10F35"/>
    <w:rsid w:val="00B132A1"/>
    <w:rsid w:val="00B13A35"/>
    <w:rsid w:val="00B140DF"/>
    <w:rsid w:val="00B14FC8"/>
    <w:rsid w:val="00B15248"/>
    <w:rsid w:val="00B15EDD"/>
    <w:rsid w:val="00B15FD4"/>
    <w:rsid w:val="00B2040B"/>
    <w:rsid w:val="00B208CA"/>
    <w:rsid w:val="00B21669"/>
    <w:rsid w:val="00B21E35"/>
    <w:rsid w:val="00B21E7F"/>
    <w:rsid w:val="00B22E70"/>
    <w:rsid w:val="00B236CD"/>
    <w:rsid w:val="00B2428B"/>
    <w:rsid w:val="00B249DE"/>
    <w:rsid w:val="00B24E73"/>
    <w:rsid w:val="00B255D5"/>
    <w:rsid w:val="00B25D65"/>
    <w:rsid w:val="00B272E5"/>
    <w:rsid w:val="00B27B8D"/>
    <w:rsid w:val="00B27BFD"/>
    <w:rsid w:val="00B30354"/>
    <w:rsid w:val="00B32A6B"/>
    <w:rsid w:val="00B32CC5"/>
    <w:rsid w:val="00B333A2"/>
    <w:rsid w:val="00B362FA"/>
    <w:rsid w:val="00B36FED"/>
    <w:rsid w:val="00B37944"/>
    <w:rsid w:val="00B37CEC"/>
    <w:rsid w:val="00B37DE0"/>
    <w:rsid w:val="00B40744"/>
    <w:rsid w:val="00B43266"/>
    <w:rsid w:val="00B43EFA"/>
    <w:rsid w:val="00B43F87"/>
    <w:rsid w:val="00B4422C"/>
    <w:rsid w:val="00B45B93"/>
    <w:rsid w:val="00B5054F"/>
    <w:rsid w:val="00B50B55"/>
    <w:rsid w:val="00B50B5A"/>
    <w:rsid w:val="00B516B6"/>
    <w:rsid w:val="00B519BB"/>
    <w:rsid w:val="00B53400"/>
    <w:rsid w:val="00B53970"/>
    <w:rsid w:val="00B5521A"/>
    <w:rsid w:val="00B57BF4"/>
    <w:rsid w:val="00B60866"/>
    <w:rsid w:val="00B62826"/>
    <w:rsid w:val="00B67382"/>
    <w:rsid w:val="00B7019C"/>
    <w:rsid w:val="00B70E28"/>
    <w:rsid w:val="00B71AFE"/>
    <w:rsid w:val="00B71F27"/>
    <w:rsid w:val="00B73016"/>
    <w:rsid w:val="00B735BC"/>
    <w:rsid w:val="00B75BE9"/>
    <w:rsid w:val="00B76EBD"/>
    <w:rsid w:val="00B7770E"/>
    <w:rsid w:val="00B77F50"/>
    <w:rsid w:val="00B80050"/>
    <w:rsid w:val="00B80377"/>
    <w:rsid w:val="00B80D86"/>
    <w:rsid w:val="00B810C0"/>
    <w:rsid w:val="00B810E8"/>
    <w:rsid w:val="00B81437"/>
    <w:rsid w:val="00B83689"/>
    <w:rsid w:val="00B8423F"/>
    <w:rsid w:val="00B84811"/>
    <w:rsid w:val="00B84D7C"/>
    <w:rsid w:val="00B86482"/>
    <w:rsid w:val="00B8658A"/>
    <w:rsid w:val="00B8669C"/>
    <w:rsid w:val="00B86D76"/>
    <w:rsid w:val="00B87BA3"/>
    <w:rsid w:val="00B90739"/>
    <w:rsid w:val="00B90A34"/>
    <w:rsid w:val="00B90FBB"/>
    <w:rsid w:val="00B91787"/>
    <w:rsid w:val="00B92A66"/>
    <w:rsid w:val="00B942D8"/>
    <w:rsid w:val="00B94DF6"/>
    <w:rsid w:val="00B9534D"/>
    <w:rsid w:val="00B95741"/>
    <w:rsid w:val="00B96723"/>
    <w:rsid w:val="00B979E2"/>
    <w:rsid w:val="00BA05FE"/>
    <w:rsid w:val="00BA061F"/>
    <w:rsid w:val="00BA0699"/>
    <w:rsid w:val="00BA08D8"/>
    <w:rsid w:val="00BA0CC5"/>
    <w:rsid w:val="00BA0E26"/>
    <w:rsid w:val="00BA134C"/>
    <w:rsid w:val="00BA2B9C"/>
    <w:rsid w:val="00BA34E3"/>
    <w:rsid w:val="00BA4D92"/>
    <w:rsid w:val="00BA5305"/>
    <w:rsid w:val="00BA5458"/>
    <w:rsid w:val="00BA56D5"/>
    <w:rsid w:val="00BB142C"/>
    <w:rsid w:val="00BB26C1"/>
    <w:rsid w:val="00BB3665"/>
    <w:rsid w:val="00BB71BA"/>
    <w:rsid w:val="00BC056E"/>
    <w:rsid w:val="00BC1680"/>
    <w:rsid w:val="00BC1F09"/>
    <w:rsid w:val="00BC4638"/>
    <w:rsid w:val="00BC55CF"/>
    <w:rsid w:val="00BC57E3"/>
    <w:rsid w:val="00BC5B12"/>
    <w:rsid w:val="00BC5E57"/>
    <w:rsid w:val="00BC5FC0"/>
    <w:rsid w:val="00BC6992"/>
    <w:rsid w:val="00BD0809"/>
    <w:rsid w:val="00BD1BA8"/>
    <w:rsid w:val="00BD2B0C"/>
    <w:rsid w:val="00BD33F2"/>
    <w:rsid w:val="00BD3D14"/>
    <w:rsid w:val="00BD4C21"/>
    <w:rsid w:val="00BD4DBC"/>
    <w:rsid w:val="00BE0EA6"/>
    <w:rsid w:val="00BE0F48"/>
    <w:rsid w:val="00BE1ACA"/>
    <w:rsid w:val="00BE2518"/>
    <w:rsid w:val="00BE2CD3"/>
    <w:rsid w:val="00BE2E85"/>
    <w:rsid w:val="00BE2FAC"/>
    <w:rsid w:val="00BE523F"/>
    <w:rsid w:val="00BE62E2"/>
    <w:rsid w:val="00BE63AC"/>
    <w:rsid w:val="00BE699D"/>
    <w:rsid w:val="00BF02AB"/>
    <w:rsid w:val="00BF04B0"/>
    <w:rsid w:val="00BF2226"/>
    <w:rsid w:val="00BF2C12"/>
    <w:rsid w:val="00BF2D5B"/>
    <w:rsid w:val="00BF31FA"/>
    <w:rsid w:val="00BF47F0"/>
    <w:rsid w:val="00BF4E7E"/>
    <w:rsid w:val="00BF67CC"/>
    <w:rsid w:val="00BF760A"/>
    <w:rsid w:val="00BF7DBF"/>
    <w:rsid w:val="00C0101A"/>
    <w:rsid w:val="00C01200"/>
    <w:rsid w:val="00C0123F"/>
    <w:rsid w:val="00C01795"/>
    <w:rsid w:val="00C01B76"/>
    <w:rsid w:val="00C02485"/>
    <w:rsid w:val="00C03337"/>
    <w:rsid w:val="00C04CD0"/>
    <w:rsid w:val="00C05B60"/>
    <w:rsid w:val="00C06357"/>
    <w:rsid w:val="00C066F7"/>
    <w:rsid w:val="00C07DE4"/>
    <w:rsid w:val="00C11E1F"/>
    <w:rsid w:val="00C1299C"/>
    <w:rsid w:val="00C12A68"/>
    <w:rsid w:val="00C1352A"/>
    <w:rsid w:val="00C14B51"/>
    <w:rsid w:val="00C1568A"/>
    <w:rsid w:val="00C15981"/>
    <w:rsid w:val="00C15A27"/>
    <w:rsid w:val="00C16280"/>
    <w:rsid w:val="00C165F8"/>
    <w:rsid w:val="00C171B2"/>
    <w:rsid w:val="00C2036A"/>
    <w:rsid w:val="00C20E69"/>
    <w:rsid w:val="00C220C8"/>
    <w:rsid w:val="00C22E58"/>
    <w:rsid w:val="00C23856"/>
    <w:rsid w:val="00C24932"/>
    <w:rsid w:val="00C24AC9"/>
    <w:rsid w:val="00C25C59"/>
    <w:rsid w:val="00C261E4"/>
    <w:rsid w:val="00C26389"/>
    <w:rsid w:val="00C269EF"/>
    <w:rsid w:val="00C26CDE"/>
    <w:rsid w:val="00C26E6D"/>
    <w:rsid w:val="00C27660"/>
    <w:rsid w:val="00C27768"/>
    <w:rsid w:val="00C27F14"/>
    <w:rsid w:val="00C30B1E"/>
    <w:rsid w:val="00C30FE1"/>
    <w:rsid w:val="00C311CA"/>
    <w:rsid w:val="00C31A7F"/>
    <w:rsid w:val="00C3261F"/>
    <w:rsid w:val="00C32A10"/>
    <w:rsid w:val="00C336B5"/>
    <w:rsid w:val="00C33BD6"/>
    <w:rsid w:val="00C35052"/>
    <w:rsid w:val="00C353E8"/>
    <w:rsid w:val="00C358B5"/>
    <w:rsid w:val="00C36C11"/>
    <w:rsid w:val="00C4076D"/>
    <w:rsid w:val="00C40C33"/>
    <w:rsid w:val="00C42A5E"/>
    <w:rsid w:val="00C43FCB"/>
    <w:rsid w:val="00C452A5"/>
    <w:rsid w:val="00C4607B"/>
    <w:rsid w:val="00C47367"/>
    <w:rsid w:val="00C47445"/>
    <w:rsid w:val="00C47945"/>
    <w:rsid w:val="00C51910"/>
    <w:rsid w:val="00C54CA8"/>
    <w:rsid w:val="00C5779B"/>
    <w:rsid w:val="00C57882"/>
    <w:rsid w:val="00C604E5"/>
    <w:rsid w:val="00C61939"/>
    <w:rsid w:val="00C6221B"/>
    <w:rsid w:val="00C62B01"/>
    <w:rsid w:val="00C62FF1"/>
    <w:rsid w:val="00C64B3F"/>
    <w:rsid w:val="00C64D55"/>
    <w:rsid w:val="00C65FB3"/>
    <w:rsid w:val="00C66023"/>
    <w:rsid w:val="00C66BCE"/>
    <w:rsid w:val="00C66E7B"/>
    <w:rsid w:val="00C70CC7"/>
    <w:rsid w:val="00C717BE"/>
    <w:rsid w:val="00C730AC"/>
    <w:rsid w:val="00C7499B"/>
    <w:rsid w:val="00C74FDF"/>
    <w:rsid w:val="00C75655"/>
    <w:rsid w:val="00C75D03"/>
    <w:rsid w:val="00C76613"/>
    <w:rsid w:val="00C76BB7"/>
    <w:rsid w:val="00C80C74"/>
    <w:rsid w:val="00C80E6B"/>
    <w:rsid w:val="00C81640"/>
    <w:rsid w:val="00C81659"/>
    <w:rsid w:val="00C81C9A"/>
    <w:rsid w:val="00C8558B"/>
    <w:rsid w:val="00C86049"/>
    <w:rsid w:val="00C86894"/>
    <w:rsid w:val="00C87A46"/>
    <w:rsid w:val="00C90076"/>
    <w:rsid w:val="00C90AA5"/>
    <w:rsid w:val="00C911E9"/>
    <w:rsid w:val="00C9279B"/>
    <w:rsid w:val="00C94068"/>
    <w:rsid w:val="00C9516D"/>
    <w:rsid w:val="00C967FD"/>
    <w:rsid w:val="00CA11A5"/>
    <w:rsid w:val="00CA21C6"/>
    <w:rsid w:val="00CA2FB4"/>
    <w:rsid w:val="00CA4CE3"/>
    <w:rsid w:val="00CA5811"/>
    <w:rsid w:val="00CA5B69"/>
    <w:rsid w:val="00CA6C56"/>
    <w:rsid w:val="00CA7D60"/>
    <w:rsid w:val="00CB031D"/>
    <w:rsid w:val="00CB11ED"/>
    <w:rsid w:val="00CB12EA"/>
    <w:rsid w:val="00CB1515"/>
    <w:rsid w:val="00CB1BC9"/>
    <w:rsid w:val="00CB1EE5"/>
    <w:rsid w:val="00CB262F"/>
    <w:rsid w:val="00CB2751"/>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52CC"/>
    <w:rsid w:val="00CD6668"/>
    <w:rsid w:val="00CD6AC8"/>
    <w:rsid w:val="00CD7457"/>
    <w:rsid w:val="00CD77C7"/>
    <w:rsid w:val="00CE5551"/>
    <w:rsid w:val="00CE56DE"/>
    <w:rsid w:val="00CE599E"/>
    <w:rsid w:val="00CE6692"/>
    <w:rsid w:val="00CE6F85"/>
    <w:rsid w:val="00CE7D90"/>
    <w:rsid w:val="00CF0707"/>
    <w:rsid w:val="00CF1B40"/>
    <w:rsid w:val="00CF1BD9"/>
    <w:rsid w:val="00CF4F1A"/>
    <w:rsid w:val="00CF5E8D"/>
    <w:rsid w:val="00CF71DB"/>
    <w:rsid w:val="00CF72DA"/>
    <w:rsid w:val="00CF7967"/>
    <w:rsid w:val="00D000EC"/>
    <w:rsid w:val="00D006F3"/>
    <w:rsid w:val="00D02453"/>
    <w:rsid w:val="00D0377D"/>
    <w:rsid w:val="00D04022"/>
    <w:rsid w:val="00D04153"/>
    <w:rsid w:val="00D05392"/>
    <w:rsid w:val="00D0557D"/>
    <w:rsid w:val="00D0642D"/>
    <w:rsid w:val="00D06572"/>
    <w:rsid w:val="00D13839"/>
    <w:rsid w:val="00D1543B"/>
    <w:rsid w:val="00D15628"/>
    <w:rsid w:val="00D158CB"/>
    <w:rsid w:val="00D20F53"/>
    <w:rsid w:val="00D2105F"/>
    <w:rsid w:val="00D21442"/>
    <w:rsid w:val="00D22303"/>
    <w:rsid w:val="00D229F5"/>
    <w:rsid w:val="00D22E61"/>
    <w:rsid w:val="00D2538A"/>
    <w:rsid w:val="00D26E6C"/>
    <w:rsid w:val="00D322DC"/>
    <w:rsid w:val="00D32D7E"/>
    <w:rsid w:val="00D35A9C"/>
    <w:rsid w:val="00D3605F"/>
    <w:rsid w:val="00D367ED"/>
    <w:rsid w:val="00D4124C"/>
    <w:rsid w:val="00D4221E"/>
    <w:rsid w:val="00D426E0"/>
    <w:rsid w:val="00D42D36"/>
    <w:rsid w:val="00D4309C"/>
    <w:rsid w:val="00D433C4"/>
    <w:rsid w:val="00D43B4D"/>
    <w:rsid w:val="00D43FC8"/>
    <w:rsid w:val="00D4464D"/>
    <w:rsid w:val="00D44E4B"/>
    <w:rsid w:val="00D47B39"/>
    <w:rsid w:val="00D47CDD"/>
    <w:rsid w:val="00D5049F"/>
    <w:rsid w:val="00D5127F"/>
    <w:rsid w:val="00D5338B"/>
    <w:rsid w:val="00D53AF3"/>
    <w:rsid w:val="00D53B1E"/>
    <w:rsid w:val="00D54B8D"/>
    <w:rsid w:val="00D566FF"/>
    <w:rsid w:val="00D56D50"/>
    <w:rsid w:val="00D56DC9"/>
    <w:rsid w:val="00D572F7"/>
    <w:rsid w:val="00D60DDA"/>
    <w:rsid w:val="00D617A1"/>
    <w:rsid w:val="00D6226E"/>
    <w:rsid w:val="00D642C3"/>
    <w:rsid w:val="00D65430"/>
    <w:rsid w:val="00D67DD3"/>
    <w:rsid w:val="00D70180"/>
    <w:rsid w:val="00D7067D"/>
    <w:rsid w:val="00D71C7A"/>
    <w:rsid w:val="00D72CB9"/>
    <w:rsid w:val="00D73D0E"/>
    <w:rsid w:val="00D7434C"/>
    <w:rsid w:val="00D75DDA"/>
    <w:rsid w:val="00D76174"/>
    <w:rsid w:val="00D767F1"/>
    <w:rsid w:val="00D76B22"/>
    <w:rsid w:val="00D76EB9"/>
    <w:rsid w:val="00D81BAF"/>
    <w:rsid w:val="00D83B83"/>
    <w:rsid w:val="00D8697A"/>
    <w:rsid w:val="00D86E9B"/>
    <w:rsid w:val="00D91753"/>
    <w:rsid w:val="00D924FA"/>
    <w:rsid w:val="00D92A49"/>
    <w:rsid w:val="00D93E73"/>
    <w:rsid w:val="00D93FFC"/>
    <w:rsid w:val="00D95858"/>
    <w:rsid w:val="00D96BC2"/>
    <w:rsid w:val="00D976A4"/>
    <w:rsid w:val="00D9783B"/>
    <w:rsid w:val="00DA02F7"/>
    <w:rsid w:val="00DA1CAD"/>
    <w:rsid w:val="00DA3056"/>
    <w:rsid w:val="00DA3E2F"/>
    <w:rsid w:val="00DA450A"/>
    <w:rsid w:val="00DA4570"/>
    <w:rsid w:val="00DA5BEF"/>
    <w:rsid w:val="00DA617D"/>
    <w:rsid w:val="00DA64EA"/>
    <w:rsid w:val="00DA6AC0"/>
    <w:rsid w:val="00DA7D2B"/>
    <w:rsid w:val="00DB03F4"/>
    <w:rsid w:val="00DB1693"/>
    <w:rsid w:val="00DB1743"/>
    <w:rsid w:val="00DB1C94"/>
    <w:rsid w:val="00DB6A07"/>
    <w:rsid w:val="00DB7F35"/>
    <w:rsid w:val="00DC017A"/>
    <w:rsid w:val="00DC0BB6"/>
    <w:rsid w:val="00DC16F0"/>
    <w:rsid w:val="00DC1E85"/>
    <w:rsid w:val="00DC2D56"/>
    <w:rsid w:val="00DC3635"/>
    <w:rsid w:val="00DC40B4"/>
    <w:rsid w:val="00DC547A"/>
    <w:rsid w:val="00DC59A4"/>
    <w:rsid w:val="00DC743D"/>
    <w:rsid w:val="00DD1172"/>
    <w:rsid w:val="00DD1294"/>
    <w:rsid w:val="00DD36B9"/>
    <w:rsid w:val="00DD3759"/>
    <w:rsid w:val="00DD37E1"/>
    <w:rsid w:val="00DD3A57"/>
    <w:rsid w:val="00DD49CB"/>
    <w:rsid w:val="00DD5AA7"/>
    <w:rsid w:val="00DD5D50"/>
    <w:rsid w:val="00DD6BD3"/>
    <w:rsid w:val="00DE038A"/>
    <w:rsid w:val="00DE246D"/>
    <w:rsid w:val="00DE252A"/>
    <w:rsid w:val="00DE4299"/>
    <w:rsid w:val="00DE4BE6"/>
    <w:rsid w:val="00DE4FA4"/>
    <w:rsid w:val="00DE6947"/>
    <w:rsid w:val="00DE770B"/>
    <w:rsid w:val="00DF0281"/>
    <w:rsid w:val="00DF0291"/>
    <w:rsid w:val="00DF0909"/>
    <w:rsid w:val="00DF2DFB"/>
    <w:rsid w:val="00DF2EC7"/>
    <w:rsid w:val="00DF3342"/>
    <w:rsid w:val="00DF45DB"/>
    <w:rsid w:val="00DF5ABC"/>
    <w:rsid w:val="00DF5BDE"/>
    <w:rsid w:val="00DF753C"/>
    <w:rsid w:val="00E015A9"/>
    <w:rsid w:val="00E0234B"/>
    <w:rsid w:val="00E023FC"/>
    <w:rsid w:val="00E02BC1"/>
    <w:rsid w:val="00E02E9A"/>
    <w:rsid w:val="00E05C9B"/>
    <w:rsid w:val="00E06591"/>
    <w:rsid w:val="00E06F7D"/>
    <w:rsid w:val="00E073F7"/>
    <w:rsid w:val="00E10FFF"/>
    <w:rsid w:val="00E1171F"/>
    <w:rsid w:val="00E12749"/>
    <w:rsid w:val="00E134CE"/>
    <w:rsid w:val="00E14F52"/>
    <w:rsid w:val="00E162E9"/>
    <w:rsid w:val="00E17431"/>
    <w:rsid w:val="00E20836"/>
    <w:rsid w:val="00E209F0"/>
    <w:rsid w:val="00E20DA0"/>
    <w:rsid w:val="00E222AF"/>
    <w:rsid w:val="00E2399A"/>
    <w:rsid w:val="00E244D1"/>
    <w:rsid w:val="00E25395"/>
    <w:rsid w:val="00E25DA4"/>
    <w:rsid w:val="00E310B7"/>
    <w:rsid w:val="00E32BD6"/>
    <w:rsid w:val="00E33737"/>
    <w:rsid w:val="00E34EFA"/>
    <w:rsid w:val="00E37423"/>
    <w:rsid w:val="00E37960"/>
    <w:rsid w:val="00E424CA"/>
    <w:rsid w:val="00E427C9"/>
    <w:rsid w:val="00E42AEC"/>
    <w:rsid w:val="00E42B40"/>
    <w:rsid w:val="00E456C4"/>
    <w:rsid w:val="00E45955"/>
    <w:rsid w:val="00E45E50"/>
    <w:rsid w:val="00E46188"/>
    <w:rsid w:val="00E4642E"/>
    <w:rsid w:val="00E50DBF"/>
    <w:rsid w:val="00E51207"/>
    <w:rsid w:val="00E5145F"/>
    <w:rsid w:val="00E51D91"/>
    <w:rsid w:val="00E52232"/>
    <w:rsid w:val="00E5261E"/>
    <w:rsid w:val="00E52A38"/>
    <w:rsid w:val="00E53066"/>
    <w:rsid w:val="00E53BCA"/>
    <w:rsid w:val="00E53DB6"/>
    <w:rsid w:val="00E54029"/>
    <w:rsid w:val="00E546F4"/>
    <w:rsid w:val="00E564E4"/>
    <w:rsid w:val="00E57F84"/>
    <w:rsid w:val="00E60FA8"/>
    <w:rsid w:val="00E61863"/>
    <w:rsid w:val="00E61910"/>
    <w:rsid w:val="00E61D8E"/>
    <w:rsid w:val="00E62D0C"/>
    <w:rsid w:val="00E63F9E"/>
    <w:rsid w:val="00E64186"/>
    <w:rsid w:val="00E65D61"/>
    <w:rsid w:val="00E66D29"/>
    <w:rsid w:val="00E67426"/>
    <w:rsid w:val="00E6770C"/>
    <w:rsid w:val="00E67D6C"/>
    <w:rsid w:val="00E708C5"/>
    <w:rsid w:val="00E7100F"/>
    <w:rsid w:val="00E71A5E"/>
    <w:rsid w:val="00E73062"/>
    <w:rsid w:val="00E745B2"/>
    <w:rsid w:val="00E74EE2"/>
    <w:rsid w:val="00E75F49"/>
    <w:rsid w:val="00E7695E"/>
    <w:rsid w:val="00E778C4"/>
    <w:rsid w:val="00E779BD"/>
    <w:rsid w:val="00E81322"/>
    <w:rsid w:val="00E83429"/>
    <w:rsid w:val="00E85F40"/>
    <w:rsid w:val="00E9056A"/>
    <w:rsid w:val="00E90651"/>
    <w:rsid w:val="00E90D6F"/>
    <w:rsid w:val="00E91657"/>
    <w:rsid w:val="00E91AE2"/>
    <w:rsid w:val="00E922D9"/>
    <w:rsid w:val="00E9371A"/>
    <w:rsid w:val="00EA136B"/>
    <w:rsid w:val="00EA2D35"/>
    <w:rsid w:val="00EA34BD"/>
    <w:rsid w:val="00EA4238"/>
    <w:rsid w:val="00EA506D"/>
    <w:rsid w:val="00EA7AB8"/>
    <w:rsid w:val="00EB08D0"/>
    <w:rsid w:val="00EB2567"/>
    <w:rsid w:val="00EB5D16"/>
    <w:rsid w:val="00EB6186"/>
    <w:rsid w:val="00EB6845"/>
    <w:rsid w:val="00EB68D9"/>
    <w:rsid w:val="00EB713C"/>
    <w:rsid w:val="00EB7D25"/>
    <w:rsid w:val="00EC0FCD"/>
    <w:rsid w:val="00EC26C7"/>
    <w:rsid w:val="00EC30A9"/>
    <w:rsid w:val="00EC3C2D"/>
    <w:rsid w:val="00EC3C6B"/>
    <w:rsid w:val="00EC480A"/>
    <w:rsid w:val="00ED0080"/>
    <w:rsid w:val="00ED039D"/>
    <w:rsid w:val="00ED12C1"/>
    <w:rsid w:val="00ED29C2"/>
    <w:rsid w:val="00ED34A9"/>
    <w:rsid w:val="00ED58EC"/>
    <w:rsid w:val="00ED58EE"/>
    <w:rsid w:val="00EE2D15"/>
    <w:rsid w:val="00EE4958"/>
    <w:rsid w:val="00EE57A7"/>
    <w:rsid w:val="00EE620C"/>
    <w:rsid w:val="00EE7226"/>
    <w:rsid w:val="00EE73C4"/>
    <w:rsid w:val="00EE7E23"/>
    <w:rsid w:val="00EF066A"/>
    <w:rsid w:val="00EF0BC8"/>
    <w:rsid w:val="00EF0D66"/>
    <w:rsid w:val="00EF1014"/>
    <w:rsid w:val="00EF1918"/>
    <w:rsid w:val="00EF3E5B"/>
    <w:rsid w:val="00EF4456"/>
    <w:rsid w:val="00EF627E"/>
    <w:rsid w:val="00EF6370"/>
    <w:rsid w:val="00EF73B7"/>
    <w:rsid w:val="00EF7672"/>
    <w:rsid w:val="00EF7AA2"/>
    <w:rsid w:val="00EF7BAE"/>
    <w:rsid w:val="00EF7FD3"/>
    <w:rsid w:val="00F006C6"/>
    <w:rsid w:val="00F00807"/>
    <w:rsid w:val="00F01AF4"/>
    <w:rsid w:val="00F02610"/>
    <w:rsid w:val="00F03914"/>
    <w:rsid w:val="00F03AAC"/>
    <w:rsid w:val="00F04BF6"/>
    <w:rsid w:val="00F0638F"/>
    <w:rsid w:val="00F0671C"/>
    <w:rsid w:val="00F07CB4"/>
    <w:rsid w:val="00F1441D"/>
    <w:rsid w:val="00F152CB"/>
    <w:rsid w:val="00F15986"/>
    <w:rsid w:val="00F16A45"/>
    <w:rsid w:val="00F16CC7"/>
    <w:rsid w:val="00F20802"/>
    <w:rsid w:val="00F2111F"/>
    <w:rsid w:val="00F21DFA"/>
    <w:rsid w:val="00F22451"/>
    <w:rsid w:val="00F22E8C"/>
    <w:rsid w:val="00F230AA"/>
    <w:rsid w:val="00F236DF"/>
    <w:rsid w:val="00F238AD"/>
    <w:rsid w:val="00F24350"/>
    <w:rsid w:val="00F25E5D"/>
    <w:rsid w:val="00F30525"/>
    <w:rsid w:val="00F30B56"/>
    <w:rsid w:val="00F30DDD"/>
    <w:rsid w:val="00F31761"/>
    <w:rsid w:val="00F322F4"/>
    <w:rsid w:val="00F357CE"/>
    <w:rsid w:val="00F35C13"/>
    <w:rsid w:val="00F35DFC"/>
    <w:rsid w:val="00F378AF"/>
    <w:rsid w:val="00F37DCA"/>
    <w:rsid w:val="00F415D5"/>
    <w:rsid w:val="00F41736"/>
    <w:rsid w:val="00F417BA"/>
    <w:rsid w:val="00F42290"/>
    <w:rsid w:val="00F42535"/>
    <w:rsid w:val="00F43179"/>
    <w:rsid w:val="00F474F6"/>
    <w:rsid w:val="00F47954"/>
    <w:rsid w:val="00F512FB"/>
    <w:rsid w:val="00F516DF"/>
    <w:rsid w:val="00F5176F"/>
    <w:rsid w:val="00F51AB4"/>
    <w:rsid w:val="00F53346"/>
    <w:rsid w:val="00F53413"/>
    <w:rsid w:val="00F534E9"/>
    <w:rsid w:val="00F53982"/>
    <w:rsid w:val="00F5504C"/>
    <w:rsid w:val="00F5648E"/>
    <w:rsid w:val="00F56C76"/>
    <w:rsid w:val="00F5719C"/>
    <w:rsid w:val="00F572E8"/>
    <w:rsid w:val="00F573E5"/>
    <w:rsid w:val="00F576D0"/>
    <w:rsid w:val="00F57BA0"/>
    <w:rsid w:val="00F61513"/>
    <w:rsid w:val="00F62336"/>
    <w:rsid w:val="00F62E1E"/>
    <w:rsid w:val="00F62EB2"/>
    <w:rsid w:val="00F634D6"/>
    <w:rsid w:val="00F667C0"/>
    <w:rsid w:val="00F709C9"/>
    <w:rsid w:val="00F729B5"/>
    <w:rsid w:val="00F73215"/>
    <w:rsid w:val="00F764B9"/>
    <w:rsid w:val="00F76ABE"/>
    <w:rsid w:val="00F76C99"/>
    <w:rsid w:val="00F77D18"/>
    <w:rsid w:val="00F81B03"/>
    <w:rsid w:val="00F81BC5"/>
    <w:rsid w:val="00F82799"/>
    <w:rsid w:val="00F83D57"/>
    <w:rsid w:val="00F840D7"/>
    <w:rsid w:val="00F84AEE"/>
    <w:rsid w:val="00F8540B"/>
    <w:rsid w:val="00F85D6A"/>
    <w:rsid w:val="00F86735"/>
    <w:rsid w:val="00F86BDA"/>
    <w:rsid w:val="00F87165"/>
    <w:rsid w:val="00F87CF5"/>
    <w:rsid w:val="00F91884"/>
    <w:rsid w:val="00F91DEB"/>
    <w:rsid w:val="00F921F8"/>
    <w:rsid w:val="00F928DE"/>
    <w:rsid w:val="00F93214"/>
    <w:rsid w:val="00F93E78"/>
    <w:rsid w:val="00F94E7A"/>
    <w:rsid w:val="00F952A6"/>
    <w:rsid w:val="00F9564E"/>
    <w:rsid w:val="00F96227"/>
    <w:rsid w:val="00F96996"/>
    <w:rsid w:val="00F96C8F"/>
    <w:rsid w:val="00F972CE"/>
    <w:rsid w:val="00F97A46"/>
    <w:rsid w:val="00FA0932"/>
    <w:rsid w:val="00FA0C6A"/>
    <w:rsid w:val="00FA17C6"/>
    <w:rsid w:val="00FA2304"/>
    <w:rsid w:val="00FA2714"/>
    <w:rsid w:val="00FA323A"/>
    <w:rsid w:val="00FA3359"/>
    <w:rsid w:val="00FA3483"/>
    <w:rsid w:val="00FA3FB2"/>
    <w:rsid w:val="00FA4DBD"/>
    <w:rsid w:val="00FA5B78"/>
    <w:rsid w:val="00FA75D2"/>
    <w:rsid w:val="00FB207D"/>
    <w:rsid w:val="00FB2403"/>
    <w:rsid w:val="00FB2DCB"/>
    <w:rsid w:val="00FB30C5"/>
    <w:rsid w:val="00FB5BE5"/>
    <w:rsid w:val="00FB7831"/>
    <w:rsid w:val="00FC09B6"/>
    <w:rsid w:val="00FC109A"/>
    <w:rsid w:val="00FC17B0"/>
    <w:rsid w:val="00FC1830"/>
    <w:rsid w:val="00FC4273"/>
    <w:rsid w:val="00FC4FB1"/>
    <w:rsid w:val="00FC542D"/>
    <w:rsid w:val="00FC66E7"/>
    <w:rsid w:val="00FD0E51"/>
    <w:rsid w:val="00FD1CAC"/>
    <w:rsid w:val="00FD247B"/>
    <w:rsid w:val="00FD2548"/>
    <w:rsid w:val="00FD71E9"/>
    <w:rsid w:val="00FE1060"/>
    <w:rsid w:val="00FE59A7"/>
    <w:rsid w:val="00FE7675"/>
    <w:rsid w:val="00FE7677"/>
    <w:rsid w:val="00FE76F2"/>
    <w:rsid w:val="00FE7BB4"/>
    <w:rsid w:val="00FF03BB"/>
    <w:rsid w:val="00FF2E41"/>
    <w:rsid w:val="00FF3D2F"/>
    <w:rsid w:val="00FF5E1F"/>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804DEA"/>
  <w15:docId w15:val="{0375D7C7-CBCA-40A3-B4A2-DE55903D4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1299C"/>
    <w:rPr>
      <w:sz w:val="24"/>
      <w:szCs w:val="24"/>
    </w:rPr>
  </w:style>
  <w:style w:type="paragraph" w:styleId="Heading1">
    <w:name w:val="heading 1"/>
    <w:basedOn w:val="Normal"/>
    <w:next w:val="Normal"/>
    <w:link w:val="Heading1Char"/>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link w:val="Heading2Char"/>
    <w:qFormat/>
    <w:rsid w:val="007653D0"/>
    <w:pPr>
      <w:numPr>
        <w:ilvl w:val="1"/>
      </w:numPr>
      <w:spacing w:before="120" w:after="0"/>
      <w:jc w:val="left"/>
      <w:outlineLvl w:val="1"/>
    </w:pPr>
  </w:style>
  <w:style w:type="paragraph" w:styleId="Heading3">
    <w:name w:val="heading 3"/>
    <w:basedOn w:val="Normal"/>
    <w:next w:val="Normal"/>
    <w:link w:val="Heading3Char"/>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link w:val="Heading4Char"/>
    <w:qFormat/>
    <w:rsid w:val="007653D0"/>
    <w:pPr>
      <w:keepNext/>
      <w:numPr>
        <w:ilvl w:val="3"/>
        <w:numId w:val="4"/>
      </w:numPr>
      <w:outlineLvl w:val="3"/>
    </w:pPr>
    <w:rPr>
      <w:b/>
      <w:szCs w:val="20"/>
      <w:lang w:val="sl-SI"/>
    </w:rPr>
  </w:style>
  <w:style w:type="paragraph" w:styleId="Heading5">
    <w:name w:val="heading 5"/>
    <w:basedOn w:val="Normal"/>
    <w:next w:val="Normal"/>
    <w:link w:val="Heading5Char"/>
    <w:qFormat/>
    <w:rsid w:val="007653D0"/>
    <w:pPr>
      <w:keepNext/>
      <w:numPr>
        <w:ilvl w:val="4"/>
        <w:numId w:val="4"/>
      </w:numPr>
      <w:jc w:val="both"/>
      <w:outlineLvl w:val="4"/>
    </w:pPr>
    <w:rPr>
      <w:b/>
      <w:bCs/>
      <w:szCs w:val="20"/>
      <w:lang w:val="sl-SI"/>
    </w:rPr>
  </w:style>
  <w:style w:type="paragraph" w:styleId="Heading6">
    <w:name w:val="heading 6"/>
    <w:basedOn w:val="Normal"/>
    <w:next w:val="Normal"/>
    <w:link w:val="Heading6Char"/>
    <w:qFormat/>
    <w:rsid w:val="007653D0"/>
    <w:pPr>
      <w:keepNext/>
      <w:numPr>
        <w:ilvl w:val="5"/>
        <w:numId w:val="4"/>
      </w:numPr>
      <w:jc w:val="center"/>
      <w:outlineLvl w:val="5"/>
    </w:pPr>
    <w:rPr>
      <w:b/>
      <w:szCs w:val="20"/>
      <w:lang w:val="sl-SI"/>
    </w:rPr>
  </w:style>
  <w:style w:type="paragraph" w:styleId="Heading7">
    <w:name w:val="heading 7"/>
    <w:basedOn w:val="Normal"/>
    <w:next w:val="Normal"/>
    <w:link w:val="Heading7Char"/>
    <w:qFormat/>
    <w:rsid w:val="007653D0"/>
    <w:pPr>
      <w:keepNext/>
      <w:numPr>
        <w:ilvl w:val="6"/>
        <w:numId w:val="4"/>
      </w:numPr>
      <w:jc w:val="center"/>
      <w:outlineLvl w:val="6"/>
    </w:pPr>
    <w:rPr>
      <w:b/>
      <w:sz w:val="20"/>
      <w:szCs w:val="20"/>
      <w:lang w:val="sl-SI"/>
    </w:rPr>
  </w:style>
  <w:style w:type="paragraph" w:styleId="Heading8">
    <w:name w:val="heading 8"/>
    <w:basedOn w:val="Normal"/>
    <w:next w:val="Normal"/>
    <w:link w:val="Heading8Char"/>
    <w:qFormat/>
    <w:rsid w:val="007653D0"/>
    <w:pPr>
      <w:keepNext/>
      <w:numPr>
        <w:ilvl w:val="7"/>
        <w:numId w:val="4"/>
      </w:numPr>
      <w:jc w:val="both"/>
      <w:outlineLvl w:val="7"/>
    </w:pPr>
    <w:rPr>
      <w:b/>
      <w:sz w:val="20"/>
      <w:szCs w:val="20"/>
      <w:lang w:val="sl-SI"/>
    </w:rPr>
  </w:style>
  <w:style w:type="paragraph" w:styleId="Heading9">
    <w:name w:val="heading 9"/>
    <w:basedOn w:val="Normal"/>
    <w:next w:val="Normal"/>
    <w:link w:val="Heading9Char"/>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link w:val="FooterChar"/>
    <w:uiPriority w:val="99"/>
    <w:rsid w:val="007653D0"/>
    <w:pPr>
      <w:tabs>
        <w:tab w:val="center" w:pos="4153"/>
        <w:tab w:val="right" w:pos="8306"/>
      </w:tabs>
      <w:spacing w:after="120"/>
      <w:jc w:val="both"/>
    </w:pPr>
    <w:rPr>
      <w:szCs w:val="20"/>
    </w:rPr>
  </w:style>
  <w:style w:type="paragraph" w:styleId="Header">
    <w:name w:val="header"/>
    <w:basedOn w:val="Normal"/>
    <w:link w:val="HeaderChar"/>
    <w:uiPriority w:val="99"/>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uiPriority w:val="1"/>
    <w:qFormat/>
    <w:rsid w:val="00DD3A57"/>
    <w:rPr>
      <w:rFonts w:ascii="Calibri" w:eastAsia="Calibri" w:hAnsi="Calibri"/>
      <w:sz w:val="22"/>
      <w:szCs w:val="22"/>
    </w:rPr>
  </w:style>
  <w:style w:type="character" w:customStyle="1" w:styleId="NoSpacingChar">
    <w:name w:val="No Spacing Char"/>
    <w:link w:val="NoSpacing"/>
    <w:uiPriority w:val="1"/>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link w:val="DocumentMapChar"/>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 w:type="paragraph" w:styleId="ListParagraph">
    <w:name w:val="List Paragraph"/>
    <w:basedOn w:val="Normal"/>
    <w:uiPriority w:val="34"/>
    <w:qFormat/>
    <w:rsid w:val="00210AB5"/>
    <w:pPr>
      <w:ind w:left="720"/>
      <w:contextualSpacing/>
    </w:pPr>
  </w:style>
  <w:style w:type="character" w:customStyle="1" w:styleId="FontStyle11">
    <w:name w:val="Font Style11"/>
    <w:rsid w:val="00210AB5"/>
    <w:rPr>
      <w:rFonts w:ascii="Times New Roman" w:hAnsi="Times New Roman" w:cs="Times New Roman"/>
      <w:b/>
      <w:bCs/>
      <w:sz w:val="16"/>
      <w:szCs w:val="16"/>
    </w:rPr>
  </w:style>
  <w:style w:type="paragraph" w:customStyle="1" w:styleId="Default">
    <w:name w:val="Default"/>
    <w:rsid w:val="00EE57A7"/>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C165F8"/>
    <w:rPr>
      <w:sz w:val="24"/>
    </w:rPr>
  </w:style>
  <w:style w:type="paragraph" w:styleId="Title">
    <w:name w:val="Title"/>
    <w:basedOn w:val="TOAHeading"/>
    <w:next w:val="Subtitle"/>
    <w:link w:val="TitleChar"/>
    <w:qFormat/>
    <w:rsid w:val="00C165F8"/>
    <w:pPr>
      <w:keepNext/>
      <w:widowControl w:val="0"/>
      <w:spacing w:before="0" w:after="360"/>
    </w:pPr>
    <w:rPr>
      <w:rFonts w:ascii="Times New Roman" w:hAnsi="Times New Roman" w:cs="Times New Roman"/>
      <w:bCs w:val="0"/>
      <w:i/>
      <w:snapToGrid w:val="0"/>
      <w:kern w:val="28"/>
      <w:sz w:val="72"/>
      <w:szCs w:val="20"/>
    </w:rPr>
  </w:style>
  <w:style w:type="character" w:customStyle="1" w:styleId="TitleChar">
    <w:name w:val="Title Char"/>
    <w:basedOn w:val="DefaultParagraphFont"/>
    <w:link w:val="Title"/>
    <w:rsid w:val="00C165F8"/>
    <w:rPr>
      <w:b/>
      <w:i/>
      <w:snapToGrid w:val="0"/>
      <w:kern w:val="28"/>
      <w:sz w:val="72"/>
    </w:rPr>
  </w:style>
  <w:style w:type="paragraph" w:styleId="TOAHeading">
    <w:name w:val="toa heading"/>
    <w:basedOn w:val="Normal"/>
    <w:next w:val="Normal"/>
    <w:semiHidden/>
    <w:rsid w:val="00C165F8"/>
    <w:pPr>
      <w:spacing w:before="120"/>
    </w:pPr>
    <w:rPr>
      <w:rFonts w:ascii="Arial" w:hAnsi="Arial" w:cs="Arial"/>
      <w:b/>
      <w:bCs/>
    </w:rPr>
  </w:style>
  <w:style w:type="paragraph" w:styleId="Subtitle">
    <w:name w:val="Subtitle"/>
    <w:basedOn w:val="Normal"/>
    <w:link w:val="SubtitleChar"/>
    <w:qFormat/>
    <w:rsid w:val="00C165F8"/>
    <w:pPr>
      <w:spacing w:after="60"/>
      <w:jc w:val="center"/>
      <w:outlineLvl w:val="1"/>
    </w:pPr>
    <w:rPr>
      <w:rFonts w:ascii="Arial" w:hAnsi="Arial" w:cs="Arial"/>
    </w:rPr>
  </w:style>
  <w:style w:type="character" w:customStyle="1" w:styleId="SubtitleChar">
    <w:name w:val="Subtitle Char"/>
    <w:basedOn w:val="DefaultParagraphFont"/>
    <w:link w:val="Subtitle"/>
    <w:rsid w:val="00C165F8"/>
    <w:rPr>
      <w:rFonts w:ascii="Arial" w:hAnsi="Arial" w:cs="Arial"/>
      <w:sz w:val="24"/>
      <w:szCs w:val="24"/>
    </w:rPr>
  </w:style>
  <w:style w:type="character" w:customStyle="1" w:styleId="BalloonTextChar">
    <w:name w:val="Balloon Text Char"/>
    <w:link w:val="BalloonText"/>
    <w:semiHidden/>
    <w:rsid w:val="00C165F8"/>
    <w:rPr>
      <w:rFonts w:ascii="Tahoma" w:hAnsi="Tahoma" w:cs="Tahoma"/>
      <w:sz w:val="16"/>
      <w:szCs w:val="16"/>
    </w:rPr>
  </w:style>
  <w:style w:type="numbering" w:customStyle="1" w:styleId="NoList1">
    <w:name w:val="No List1"/>
    <w:next w:val="NoList"/>
    <w:uiPriority w:val="99"/>
    <w:semiHidden/>
    <w:unhideWhenUsed/>
    <w:rsid w:val="00C165F8"/>
  </w:style>
  <w:style w:type="character" w:customStyle="1" w:styleId="fontstyle01">
    <w:name w:val="fontstyle01"/>
    <w:rsid w:val="00C165F8"/>
    <w:rPr>
      <w:rFonts w:ascii="Times-Bold" w:hAnsi="Times-Bold" w:hint="default"/>
      <w:b/>
      <w:bCs/>
      <w:i w:val="0"/>
      <w:iCs w:val="0"/>
      <w:color w:val="000000"/>
      <w:sz w:val="24"/>
      <w:szCs w:val="24"/>
    </w:rPr>
  </w:style>
  <w:style w:type="character" w:customStyle="1" w:styleId="fontstyle21">
    <w:name w:val="fontstyle21"/>
    <w:rsid w:val="00C165F8"/>
    <w:rPr>
      <w:rFonts w:ascii="TTE4t00" w:hAnsi="TTE4t00" w:hint="default"/>
      <w:b w:val="0"/>
      <w:bCs w:val="0"/>
      <w:i w:val="0"/>
      <w:iCs w:val="0"/>
      <w:color w:val="000000"/>
      <w:sz w:val="24"/>
      <w:szCs w:val="24"/>
    </w:rPr>
  </w:style>
  <w:style w:type="character" w:customStyle="1" w:styleId="Heading1Char">
    <w:name w:val="Heading 1 Char"/>
    <w:basedOn w:val="DefaultParagraphFont"/>
    <w:link w:val="Heading1"/>
    <w:rsid w:val="00C165F8"/>
    <w:rPr>
      <w:rFonts w:ascii="Times Cirilica" w:hAnsi="Times Cirilica"/>
      <w:b/>
      <w:smallCaps/>
      <w:sz w:val="32"/>
    </w:rPr>
  </w:style>
  <w:style w:type="character" w:customStyle="1" w:styleId="Heading2Char">
    <w:name w:val="Heading 2 Char"/>
    <w:basedOn w:val="DefaultParagraphFont"/>
    <w:link w:val="Heading2"/>
    <w:rsid w:val="00C165F8"/>
    <w:rPr>
      <w:rFonts w:ascii="Times Cirilica" w:hAnsi="Times Cirilica"/>
      <w:b/>
      <w:smallCaps/>
      <w:sz w:val="32"/>
    </w:rPr>
  </w:style>
  <w:style w:type="character" w:customStyle="1" w:styleId="Heading3Char">
    <w:name w:val="Heading 3 Char"/>
    <w:basedOn w:val="DefaultParagraphFont"/>
    <w:link w:val="Heading3"/>
    <w:rsid w:val="00C165F8"/>
    <w:rPr>
      <w:rFonts w:ascii="Times Cirilica" w:hAnsi="Times Cirilica"/>
      <w:b/>
      <w:sz w:val="32"/>
    </w:rPr>
  </w:style>
  <w:style w:type="character" w:customStyle="1" w:styleId="Heading4Char">
    <w:name w:val="Heading 4 Char"/>
    <w:basedOn w:val="DefaultParagraphFont"/>
    <w:link w:val="Heading4"/>
    <w:rsid w:val="00C165F8"/>
    <w:rPr>
      <w:b/>
      <w:sz w:val="24"/>
      <w:lang w:val="sl-SI"/>
    </w:rPr>
  </w:style>
  <w:style w:type="character" w:customStyle="1" w:styleId="Heading5Char">
    <w:name w:val="Heading 5 Char"/>
    <w:basedOn w:val="DefaultParagraphFont"/>
    <w:link w:val="Heading5"/>
    <w:rsid w:val="00C165F8"/>
    <w:rPr>
      <w:b/>
      <w:bCs/>
      <w:sz w:val="24"/>
      <w:lang w:val="sl-SI"/>
    </w:rPr>
  </w:style>
  <w:style w:type="character" w:customStyle="1" w:styleId="Heading6Char">
    <w:name w:val="Heading 6 Char"/>
    <w:basedOn w:val="DefaultParagraphFont"/>
    <w:link w:val="Heading6"/>
    <w:rsid w:val="00C165F8"/>
    <w:rPr>
      <w:b/>
      <w:sz w:val="24"/>
      <w:lang w:val="sl-SI"/>
    </w:rPr>
  </w:style>
  <w:style w:type="character" w:customStyle="1" w:styleId="Heading7Char">
    <w:name w:val="Heading 7 Char"/>
    <w:basedOn w:val="DefaultParagraphFont"/>
    <w:link w:val="Heading7"/>
    <w:rsid w:val="00C165F8"/>
    <w:rPr>
      <w:b/>
      <w:lang w:val="sl-SI"/>
    </w:rPr>
  </w:style>
  <w:style w:type="character" w:customStyle="1" w:styleId="Heading8Char">
    <w:name w:val="Heading 8 Char"/>
    <w:basedOn w:val="DefaultParagraphFont"/>
    <w:link w:val="Heading8"/>
    <w:rsid w:val="00C165F8"/>
    <w:rPr>
      <w:b/>
      <w:lang w:val="sl-SI"/>
    </w:rPr>
  </w:style>
  <w:style w:type="character" w:customStyle="1" w:styleId="Heading9Char">
    <w:name w:val="Heading 9 Char"/>
    <w:basedOn w:val="DefaultParagraphFont"/>
    <w:link w:val="Heading9"/>
    <w:rsid w:val="00C165F8"/>
    <w:rPr>
      <w:sz w:val="24"/>
      <w:lang w:val="sl-SI"/>
    </w:rPr>
  </w:style>
  <w:style w:type="paragraph" w:customStyle="1" w:styleId="000">
    <w:name w:val="000"/>
    <w:aliases w:val="standaard,standaard uitvullen"/>
    <w:basedOn w:val="Normal"/>
    <w:rsid w:val="00C165F8"/>
    <w:pPr>
      <w:overflowPunct w:val="0"/>
      <w:autoSpaceDE w:val="0"/>
      <w:autoSpaceDN w:val="0"/>
      <w:adjustRightInd w:val="0"/>
      <w:spacing w:line="280" w:lineRule="atLeast"/>
      <w:jc w:val="both"/>
      <w:textAlignment w:val="baseline"/>
    </w:pPr>
    <w:rPr>
      <w:szCs w:val="20"/>
      <w:lang w:val="en-GB"/>
    </w:rPr>
  </w:style>
  <w:style w:type="paragraph" w:customStyle="1" w:styleId="SingleSpacing">
    <w:name w:val="Single Spacing"/>
    <w:aliases w:val="ss,Single spacing"/>
    <w:basedOn w:val="Normal"/>
    <w:rsid w:val="00C165F8"/>
    <w:pPr>
      <w:overflowPunct w:val="0"/>
      <w:autoSpaceDE w:val="0"/>
      <w:autoSpaceDN w:val="0"/>
      <w:adjustRightInd w:val="0"/>
      <w:spacing w:line="280" w:lineRule="atLeast"/>
      <w:jc w:val="both"/>
      <w:textAlignment w:val="baseline"/>
    </w:pPr>
    <w:rPr>
      <w:rFonts w:ascii="Times" w:hAnsi="Times"/>
      <w:szCs w:val="20"/>
    </w:rPr>
  </w:style>
  <w:style w:type="paragraph" w:styleId="BodyTextIndent">
    <w:name w:val="Body Text Indent"/>
    <w:basedOn w:val="Normal"/>
    <w:link w:val="BodyTextIndentChar"/>
    <w:rsid w:val="00C165F8"/>
    <w:pPr>
      <w:spacing w:after="120"/>
      <w:ind w:left="360"/>
    </w:pPr>
    <w:rPr>
      <w:lang w:val="en-GB" w:eastAsia="x-none"/>
    </w:rPr>
  </w:style>
  <w:style w:type="character" w:customStyle="1" w:styleId="BodyTextIndentChar">
    <w:name w:val="Body Text Indent Char"/>
    <w:basedOn w:val="DefaultParagraphFont"/>
    <w:link w:val="BodyTextIndent"/>
    <w:rsid w:val="00C165F8"/>
    <w:rPr>
      <w:sz w:val="24"/>
      <w:szCs w:val="24"/>
      <w:lang w:val="en-GB" w:eastAsia="x-none"/>
    </w:rPr>
  </w:style>
  <w:style w:type="paragraph" w:customStyle="1" w:styleId="FRD3rdSubheadline">
    <w:name w:val="FRD 3rd Subheadline"/>
    <w:basedOn w:val="Normal"/>
    <w:rsid w:val="00C165F8"/>
    <w:pPr>
      <w:keepNext/>
      <w:keepLines/>
      <w:overflowPunct w:val="0"/>
      <w:autoSpaceDE w:val="0"/>
      <w:autoSpaceDN w:val="0"/>
      <w:adjustRightInd w:val="0"/>
      <w:spacing w:before="120" w:after="80" w:line="260" w:lineRule="exact"/>
      <w:textAlignment w:val="baseline"/>
    </w:pPr>
    <w:rPr>
      <w:rFonts w:ascii="EY Gothic Cond Medium" w:hAnsi="EY Gothic Cond Medium"/>
      <w:i/>
      <w:iCs/>
      <w:sz w:val="26"/>
      <w:szCs w:val="20"/>
    </w:rPr>
  </w:style>
  <w:style w:type="paragraph" w:customStyle="1" w:styleId="BodySingle">
    <w:name w:val="Body Single"/>
    <w:rsid w:val="00C165F8"/>
    <w:rPr>
      <w:color w:val="000000"/>
      <w:sz w:val="24"/>
    </w:rPr>
  </w:style>
  <w:style w:type="paragraph" w:customStyle="1" w:styleId="FRDText">
    <w:name w:val="FRD Text"/>
    <w:basedOn w:val="Normal"/>
    <w:link w:val="FRDTextChar"/>
    <w:rsid w:val="00C165F8"/>
    <w:pPr>
      <w:overflowPunct w:val="0"/>
      <w:autoSpaceDE w:val="0"/>
      <w:autoSpaceDN w:val="0"/>
      <w:adjustRightInd w:val="0"/>
      <w:spacing w:after="120" w:line="280" w:lineRule="exact"/>
      <w:textAlignment w:val="baseline"/>
    </w:pPr>
    <w:rPr>
      <w:sz w:val="22"/>
      <w:szCs w:val="20"/>
    </w:rPr>
  </w:style>
  <w:style w:type="character" w:customStyle="1" w:styleId="FRDTextChar">
    <w:name w:val="FRD Text Char"/>
    <w:link w:val="FRDText"/>
    <w:rsid w:val="00C165F8"/>
    <w:rPr>
      <w:sz w:val="22"/>
    </w:rPr>
  </w:style>
  <w:style w:type="character" w:styleId="CommentReference">
    <w:name w:val="annotation reference"/>
    <w:rsid w:val="00C165F8"/>
    <w:rPr>
      <w:sz w:val="16"/>
      <w:szCs w:val="16"/>
    </w:rPr>
  </w:style>
  <w:style w:type="paragraph" w:styleId="CommentText">
    <w:name w:val="annotation text"/>
    <w:basedOn w:val="Normal"/>
    <w:link w:val="CommentTextChar"/>
    <w:rsid w:val="00C165F8"/>
    <w:rPr>
      <w:sz w:val="20"/>
      <w:szCs w:val="20"/>
    </w:rPr>
  </w:style>
  <w:style w:type="character" w:customStyle="1" w:styleId="CommentTextChar">
    <w:name w:val="Comment Text Char"/>
    <w:basedOn w:val="DefaultParagraphFont"/>
    <w:link w:val="CommentText"/>
    <w:rsid w:val="00C165F8"/>
  </w:style>
  <w:style w:type="paragraph" w:styleId="CommentSubject">
    <w:name w:val="annotation subject"/>
    <w:basedOn w:val="CommentText"/>
    <w:next w:val="CommentText"/>
    <w:link w:val="CommentSubjectChar"/>
    <w:rsid w:val="00C165F8"/>
    <w:rPr>
      <w:b/>
      <w:bCs/>
      <w:lang w:val="x-none" w:eastAsia="x-none"/>
    </w:rPr>
  </w:style>
  <w:style w:type="character" w:customStyle="1" w:styleId="CommentSubjectChar">
    <w:name w:val="Comment Subject Char"/>
    <w:basedOn w:val="CommentTextChar"/>
    <w:link w:val="CommentSubject"/>
    <w:rsid w:val="00C165F8"/>
    <w:rPr>
      <w:b/>
      <w:bCs/>
      <w:lang w:val="x-none" w:eastAsia="x-none"/>
    </w:rPr>
  </w:style>
  <w:style w:type="paragraph" w:styleId="Revision">
    <w:name w:val="Revision"/>
    <w:hidden/>
    <w:uiPriority w:val="99"/>
    <w:semiHidden/>
    <w:rsid w:val="00C165F8"/>
    <w:rPr>
      <w:sz w:val="24"/>
      <w:szCs w:val="24"/>
    </w:rPr>
  </w:style>
  <w:style w:type="paragraph" w:customStyle="1" w:styleId="CharCharCharCharCharCharChar">
    <w:name w:val="Char Char Char Char Char Char Char"/>
    <w:basedOn w:val="Normal"/>
    <w:rsid w:val="00C165F8"/>
    <w:pPr>
      <w:spacing w:after="160" w:line="240" w:lineRule="exact"/>
    </w:pPr>
    <w:rPr>
      <w:rFonts w:ascii="Symbol" w:eastAsia="Calibri" w:hAnsi="Symbol" w:cs="Calibri"/>
      <w:sz w:val="20"/>
      <w:szCs w:val="20"/>
    </w:rPr>
  </w:style>
  <w:style w:type="paragraph" w:styleId="BodyTextIndent2">
    <w:name w:val="Body Text Indent 2"/>
    <w:aliases w:val="  uvlaka 2,uvlaka 2"/>
    <w:basedOn w:val="Normal"/>
    <w:link w:val="BodyTextIndent2Char"/>
    <w:rsid w:val="00C165F8"/>
    <w:pPr>
      <w:spacing w:after="120" w:line="480" w:lineRule="auto"/>
      <w:ind w:left="283"/>
    </w:pPr>
    <w:rPr>
      <w:lang w:val="hr-HR"/>
    </w:rPr>
  </w:style>
  <w:style w:type="character" w:customStyle="1" w:styleId="BodyTextIndent2Char">
    <w:name w:val="Body Text Indent 2 Char"/>
    <w:aliases w:val="  uvlaka 2 Char,uvlaka 2 Char"/>
    <w:basedOn w:val="DefaultParagraphFont"/>
    <w:link w:val="BodyTextIndent2"/>
    <w:rsid w:val="00C165F8"/>
    <w:rPr>
      <w:sz w:val="24"/>
      <w:szCs w:val="24"/>
      <w:lang w:val="hr-HR"/>
    </w:rPr>
  </w:style>
  <w:style w:type="paragraph" w:styleId="BodyTextIndent3">
    <w:name w:val="Body Text Indent 3"/>
    <w:aliases w:val=" uvlaka 3"/>
    <w:basedOn w:val="Normal"/>
    <w:link w:val="BodyTextIndent3Char"/>
    <w:rsid w:val="00C165F8"/>
    <w:pPr>
      <w:spacing w:after="120"/>
      <w:ind w:left="283"/>
    </w:pPr>
    <w:rPr>
      <w:sz w:val="16"/>
      <w:szCs w:val="16"/>
    </w:rPr>
  </w:style>
  <w:style w:type="character" w:customStyle="1" w:styleId="BodyTextIndent3Char">
    <w:name w:val="Body Text Indent 3 Char"/>
    <w:aliases w:val=" uvlaka 3 Char"/>
    <w:basedOn w:val="DefaultParagraphFont"/>
    <w:link w:val="BodyTextIndent3"/>
    <w:rsid w:val="00C165F8"/>
    <w:rPr>
      <w:sz w:val="16"/>
      <w:szCs w:val="16"/>
    </w:rPr>
  </w:style>
  <w:style w:type="paragraph" w:customStyle="1" w:styleId="AlignWithoutBrackets">
    <w:name w:val="AlignWithoutBrackets"/>
    <w:basedOn w:val="Normal"/>
    <w:rsid w:val="00C165F8"/>
    <w:pPr>
      <w:widowControl w:val="0"/>
      <w:tabs>
        <w:tab w:val="left" w:pos="-1440"/>
        <w:tab w:val="left" w:pos="-720"/>
      </w:tabs>
      <w:suppressAutoHyphens/>
      <w:ind w:left="153" w:hanging="153"/>
      <w:jc w:val="right"/>
    </w:pPr>
    <w:rPr>
      <w:spacing w:val="-2"/>
      <w:sz w:val="18"/>
      <w:szCs w:val="20"/>
      <w:lang w:val="en-GB"/>
    </w:rPr>
  </w:style>
  <w:style w:type="paragraph" w:customStyle="1" w:styleId="Double">
    <w:name w:val="Double"/>
    <w:basedOn w:val="Normal"/>
    <w:rsid w:val="00C165F8"/>
    <w:pPr>
      <w:widowControl w:val="0"/>
      <w:tabs>
        <w:tab w:val="left" w:pos="-1440"/>
        <w:tab w:val="left" w:pos="-720"/>
      </w:tabs>
      <w:suppressAutoHyphens/>
      <w:spacing w:after="130"/>
      <w:jc w:val="right"/>
    </w:pPr>
    <w:rPr>
      <w:rFonts w:ascii="HR Times New Roman EE/ISO 8859" w:hAnsi="HR Times New Roman EE/ISO 8859"/>
      <w:b/>
      <w:spacing w:val="-2"/>
      <w:position w:val="6"/>
      <w:sz w:val="18"/>
      <w:szCs w:val="20"/>
      <w:u w:val="double"/>
      <w:lang w:val="en-GB"/>
    </w:rPr>
  </w:style>
  <w:style w:type="paragraph" w:customStyle="1" w:styleId="AlignBrackets">
    <w:name w:val="AlignBrackets"/>
    <w:basedOn w:val="Normal"/>
    <w:rsid w:val="00C165F8"/>
    <w:pPr>
      <w:widowControl w:val="0"/>
      <w:tabs>
        <w:tab w:val="left" w:pos="-1440"/>
        <w:tab w:val="left" w:pos="-720"/>
      </w:tabs>
      <w:suppressAutoHyphens/>
      <w:ind w:left="153" w:right="-57" w:hanging="153"/>
      <w:jc w:val="right"/>
    </w:pPr>
    <w:rPr>
      <w:spacing w:val="-2"/>
      <w:sz w:val="18"/>
      <w:szCs w:val="20"/>
      <w:lang w:val="en-GB"/>
    </w:rPr>
  </w:style>
  <w:style w:type="character" w:customStyle="1" w:styleId="HeaderChar">
    <w:name w:val="Header Char"/>
    <w:link w:val="Header"/>
    <w:uiPriority w:val="99"/>
    <w:rsid w:val="00C165F8"/>
    <w:rPr>
      <w:sz w:val="18"/>
      <w:lang w:val="sr-Cyrl-CS" w:eastAsia="hr-HR"/>
    </w:rPr>
  </w:style>
  <w:style w:type="character" w:customStyle="1" w:styleId="FontStyle12">
    <w:name w:val="Font Style12"/>
    <w:rsid w:val="00C165F8"/>
    <w:rPr>
      <w:rFonts w:ascii="Times New Roman" w:hAnsi="Times New Roman" w:cs="Times New Roman"/>
      <w:sz w:val="22"/>
      <w:szCs w:val="22"/>
    </w:rPr>
  </w:style>
  <w:style w:type="paragraph" w:customStyle="1" w:styleId="xl34">
    <w:name w:val="xl34"/>
    <w:basedOn w:val="Normal"/>
    <w:rsid w:val="00C165F8"/>
    <w:pPr>
      <w:spacing w:before="100" w:beforeAutospacing="1" w:after="100" w:afterAutospacing="1"/>
      <w:jc w:val="center"/>
      <w:textAlignment w:val="center"/>
    </w:pPr>
    <w:rPr>
      <w:rFonts w:ascii="HelveticaPlain" w:eastAsia="Arial Unicode MS" w:hAnsi="HelveticaPlain" w:cs="Arial Unicode MS"/>
      <w:lang w:val="hr-HR" w:eastAsia="hr-HR"/>
    </w:rPr>
  </w:style>
  <w:style w:type="paragraph" w:styleId="EnvelopeAddress">
    <w:name w:val="envelope address"/>
    <w:basedOn w:val="Normal"/>
    <w:rsid w:val="00C165F8"/>
    <w:pPr>
      <w:framePr w:w="7920" w:h="1980" w:hRule="exact" w:hSpace="180" w:wrap="auto" w:hAnchor="page" w:xAlign="center" w:yAlign="bottom"/>
      <w:widowControl w:val="0"/>
      <w:ind w:left="1440"/>
    </w:pPr>
    <w:rPr>
      <w:rFonts w:ascii="Arial" w:hAnsi="Arial"/>
      <w:caps/>
      <w:snapToGrid w:val="0"/>
      <w:szCs w:val="20"/>
    </w:rPr>
  </w:style>
  <w:style w:type="paragraph" w:customStyle="1" w:styleId="fDTLogo">
    <w:name w:val="f_D&amp;T_Logo"/>
    <w:basedOn w:val="Normal"/>
    <w:rsid w:val="00C165F8"/>
    <w:pPr>
      <w:framePr w:wrap="notBeside" w:vAnchor="page" w:hAnchor="page" w:x="1191" w:y="908"/>
      <w:widowControl w:val="0"/>
    </w:pPr>
    <w:rPr>
      <w:rFonts w:ascii="CG Times (WN)" w:hAnsi="CG Times (WN)"/>
      <w:snapToGrid w:val="0"/>
      <w:szCs w:val="20"/>
    </w:rPr>
  </w:style>
  <w:style w:type="paragraph" w:customStyle="1" w:styleId="fDTTLogo">
    <w:name w:val="f_DTT_Logo"/>
    <w:basedOn w:val="Normal"/>
    <w:rsid w:val="00C165F8"/>
    <w:pPr>
      <w:framePr w:wrap="notBeside" w:vAnchor="page" w:hAnchor="page" w:x="1701" w:y="14346"/>
      <w:widowControl w:val="0"/>
    </w:pPr>
    <w:rPr>
      <w:rFonts w:ascii="CG Times (WN)" w:hAnsi="CG Times (WN)"/>
      <w:snapToGrid w:val="0"/>
      <w:szCs w:val="20"/>
    </w:rPr>
  </w:style>
  <w:style w:type="paragraph" w:customStyle="1" w:styleId="HangingIndent1">
    <w:name w:val="Hanging Indent 1"/>
    <w:basedOn w:val="BodyText"/>
    <w:rsid w:val="00C165F8"/>
    <w:pPr>
      <w:widowControl w:val="0"/>
      <w:spacing w:after="240"/>
      <w:ind w:left="360" w:hanging="360"/>
    </w:pPr>
    <w:rPr>
      <w:snapToGrid w:val="0"/>
      <w:szCs w:val="20"/>
    </w:rPr>
  </w:style>
  <w:style w:type="paragraph" w:customStyle="1" w:styleId="HangingIndent2">
    <w:name w:val="Hanging Indent 2"/>
    <w:basedOn w:val="BodyText"/>
    <w:rsid w:val="00C165F8"/>
    <w:pPr>
      <w:widowControl w:val="0"/>
      <w:spacing w:after="240"/>
      <w:ind w:left="720" w:hanging="360"/>
    </w:pPr>
    <w:rPr>
      <w:snapToGrid w:val="0"/>
      <w:szCs w:val="20"/>
    </w:rPr>
  </w:style>
  <w:style w:type="paragraph" w:customStyle="1" w:styleId="HangingIndent3">
    <w:name w:val="Hanging Indent 3"/>
    <w:basedOn w:val="BodyText"/>
    <w:rsid w:val="00C165F8"/>
    <w:pPr>
      <w:widowControl w:val="0"/>
      <w:spacing w:after="240"/>
      <w:ind w:left="1080" w:hanging="360"/>
    </w:pPr>
    <w:rPr>
      <w:snapToGrid w:val="0"/>
      <w:szCs w:val="20"/>
    </w:rPr>
  </w:style>
  <w:style w:type="paragraph" w:customStyle="1" w:styleId="HangingIndent4">
    <w:name w:val="Hanging Indent 4"/>
    <w:basedOn w:val="BodyText"/>
    <w:rsid w:val="00C165F8"/>
    <w:pPr>
      <w:widowControl w:val="0"/>
      <w:spacing w:after="240"/>
      <w:ind w:left="1440" w:hanging="360"/>
    </w:pPr>
    <w:rPr>
      <w:snapToGrid w:val="0"/>
      <w:szCs w:val="20"/>
    </w:rPr>
  </w:style>
  <w:style w:type="paragraph" w:customStyle="1" w:styleId="HangingIndent5">
    <w:name w:val="Hanging Indent 5"/>
    <w:basedOn w:val="BodyText"/>
    <w:rsid w:val="00C165F8"/>
    <w:pPr>
      <w:widowControl w:val="0"/>
      <w:spacing w:after="240"/>
      <w:ind w:left="1800" w:hanging="360"/>
    </w:pPr>
    <w:rPr>
      <w:snapToGrid w:val="0"/>
      <w:szCs w:val="20"/>
    </w:rPr>
  </w:style>
  <w:style w:type="paragraph" w:styleId="List">
    <w:name w:val="List"/>
    <w:basedOn w:val="HangingIndent1"/>
    <w:rsid w:val="00C165F8"/>
  </w:style>
  <w:style w:type="paragraph" w:styleId="List2">
    <w:name w:val="List 2"/>
    <w:basedOn w:val="HangingIndent2"/>
    <w:rsid w:val="00C165F8"/>
  </w:style>
  <w:style w:type="paragraph" w:styleId="List3">
    <w:name w:val="List 3"/>
    <w:basedOn w:val="HangingIndent3"/>
    <w:rsid w:val="00C165F8"/>
  </w:style>
  <w:style w:type="paragraph" w:styleId="List4">
    <w:name w:val="List 4"/>
    <w:basedOn w:val="HangingIndent4"/>
    <w:rsid w:val="00C165F8"/>
  </w:style>
  <w:style w:type="paragraph" w:styleId="List5">
    <w:name w:val="List 5"/>
    <w:basedOn w:val="HangingIndent5"/>
    <w:rsid w:val="00C165F8"/>
  </w:style>
  <w:style w:type="paragraph" w:styleId="ListBullet">
    <w:name w:val="List Bullet"/>
    <w:basedOn w:val="HangingIndent1"/>
    <w:autoRedefine/>
    <w:rsid w:val="00C165F8"/>
  </w:style>
  <w:style w:type="paragraph" w:styleId="ListBullet2">
    <w:name w:val="List Bullet 2"/>
    <w:basedOn w:val="HangingIndent2"/>
    <w:autoRedefine/>
    <w:rsid w:val="00C165F8"/>
  </w:style>
  <w:style w:type="paragraph" w:styleId="ListBullet3">
    <w:name w:val="List Bullet 3"/>
    <w:basedOn w:val="HangingIndent3"/>
    <w:autoRedefine/>
    <w:rsid w:val="00C165F8"/>
  </w:style>
  <w:style w:type="paragraph" w:styleId="ListBullet4">
    <w:name w:val="List Bullet 4"/>
    <w:basedOn w:val="HangingIndent4"/>
    <w:autoRedefine/>
    <w:rsid w:val="00C165F8"/>
  </w:style>
  <w:style w:type="paragraph" w:styleId="ListBullet5">
    <w:name w:val="List Bullet 5"/>
    <w:basedOn w:val="HangingIndent5"/>
    <w:autoRedefine/>
    <w:rsid w:val="00C165F8"/>
  </w:style>
  <w:style w:type="paragraph" w:styleId="ListContinue">
    <w:name w:val="List Continue"/>
    <w:basedOn w:val="BodyTextIndent"/>
    <w:rsid w:val="00C165F8"/>
    <w:pPr>
      <w:widowControl w:val="0"/>
      <w:spacing w:after="240"/>
    </w:pPr>
    <w:rPr>
      <w:snapToGrid w:val="0"/>
      <w:szCs w:val="20"/>
      <w:lang w:val="en-US" w:eastAsia="en-US"/>
    </w:rPr>
  </w:style>
  <w:style w:type="paragraph" w:styleId="NormalIndent">
    <w:name w:val="Normal Indent"/>
    <w:basedOn w:val="Normal"/>
    <w:rsid w:val="00C165F8"/>
    <w:pPr>
      <w:widowControl w:val="0"/>
      <w:ind w:left="360"/>
    </w:pPr>
    <w:rPr>
      <w:snapToGrid w:val="0"/>
      <w:szCs w:val="20"/>
    </w:rPr>
  </w:style>
  <w:style w:type="paragraph" w:styleId="ListContinue2">
    <w:name w:val="List Continue 2"/>
    <w:basedOn w:val="BodyTextIndent"/>
    <w:rsid w:val="00C165F8"/>
    <w:pPr>
      <w:widowControl w:val="0"/>
      <w:spacing w:after="240"/>
      <w:ind w:left="720"/>
    </w:pPr>
    <w:rPr>
      <w:snapToGrid w:val="0"/>
      <w:szCs w:val="20"/>
      <w:lang w:val="en-US" w:eastAsia="en-US"/>
    </w:rPr>
  </w:style>
  <w:style w:type="paragraph" w:styleId="ListContinue3">
    <w:name w:val="List Continue 3"/>
    <w:basedOn w:val="BodyTextIndent"/>
    <w:rsid w:val="00C165F8"/>
    <w:pPr>
      <w:widowControl w:val="0"/>
      <w:spacing w:after="240"/>
      <w:ind w:left="1080"/>
    </w:pPr>
    <w:rPr>
      <w:snapToGrid w:val="0"/>
      <w:szCs w:val="20"/>
      <w:lang w:val="en-US" w:eastAsia="en-US"/>
    </w:rPr>
  </w:style>
  <w:style w:type="paragraph" w:styleId="ListContinue4">
    <w:name w:val="List Continue 4"/>
    <w:basedOn w:val="BodyTextIndent"/>
    <w:rsid w:val="00C165F8"/>
    <w:pPr>
      <w:widowControl w:val="0"/>
      <w:spacing w:after="240"/>
      <w:ind w:left="1440"/>
    </w:pPr>
    <w:rPr>
      <w:snapToGrid w:val="0"/>
      <w:szCs w:val="20"/>
      <w:lang w:val="en-US" w:eastAsia="en-US"/>
    </w:rPr>
  </w:style>
  <w:style w:type="paragraph" w:styleId="ListContinue5">
    <w:name w:val="List Continue 5"/>
    <w:basedOn w:val="BodyTextIndent"/>
    <w:rsid w:val="00C165F8"/>
    <w:pPr>
      <w:widowControl w:val="0"/>
      <w:spacing w:after="240"/>
      <w:ind w:left="1800"/>
    </w:pPr>
    <w:rPr>
      <w:snapToGrid w:val="0"/>
      <w:szCs w:val="20"/>
      <w:lang w:val="en-US" w:eastAsia="en-US"/>
    </w:rPr>
  </w:style>
  <w:style w:type="paragraph" w:styleId="ListNumber">
    <w:name w:val="List Number"/>
    <w:basedOn w:val="HangingIndent1"/>
    <w:rsid w:val="00C165F8"/>
  </w:style>
  <w:style w:type="paragraph" w:styleId="ListNumber2">
    <w:name w:val="List Number 2"/>
    <w:basedOn w:val="HangingIndent2"/>
    <w:rsid w:val="00C165F8"/>
  </w:style>
  <w:style w:type="paragraph" w:styleId="ListNumber3">
    <w:name w:val="List Number 3"/>
    <w:basedOn w:val="HangingIndent3"/>
    <w:rsid w:val="00C165F8"/>
  </w:style>
  <w:style w:type="paragraph" w:styleId="ListNumber4">
    <w:name w:val="List Number 4"/>
    <w:basedOn w:val="HangingIndent4"/>
    <w:rsid w:val="00C165F8"/>
  </w:style>
  <w:style w:type="paragraph" w:styleId="ListNumber5">
    <w:name w:val="List Number 5"/>
    <w:basedOn w:val="HangingIndent5"/>
    <w:rsid w:val="00C165F8"/>
  </w:style>
  <w:style w:type="paragraph" w:styleId="MacroText">
    <w:name w:val="macro"/>
    <w:link w:val="MacroTextChar"/>
    <w:semiHidden/>
    <w:rsid w:val="00C165F8"/>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hAnsi="Courier New"/>
      <w:snapToGrid w:val="0"/>
    </w:rPr>
  </w:style>
  <w:style w:type="character" w:customStyle="1" w:styleId="MacroTextChar">
    <w:name w:val="Macro Text Char"/>
    <w:basedOn w:val="DefaultParagraphFont"/>
    <w:link w:val="MacroText"/>
    <w:semiHidden/>
    <w:rsid w:val="00C165F8"/>
    <w:rPr>
      <w:rFonts w:ascii="Courier New" w:hAnsi="Courier New"/>
      <w:snapToGrid w:val="0"/>
    </w:rPr>
  </w:style>
  <w:style w:type="paragraph" w:styleId="Signature">
    <w:name w:val="Signature"/>
    <w:basedOn w:val="BodyText"/>
    <w:next w:val="BodyText"/>
    <w:link w:val="SignatureChar"/>
    <w:rsid w:val="00C165F8"/>
    <w:pPr>
      <w:widowControl w:val="0"/>
      <w:spacing w:after="240"/>
    </w:pPr>
    <w:rPr>
      <w:snapToGrid w:val="0"/>
      <w:szCs w:val="20"/>
    </w:rPr>
  </w:style>
  <w:style w:type="character" w:customStyle="1" w:styleId="SignatureChar">
    <w:name w:val="Signature Char"/>
    <w:basedOn w:val="DefaultParagraphFont"/>
    <w:link w:val="Signature"/>
    <w:rsid w:val="00C165F8"/>
    <w:rPr>
      <w:snapToGrid w:val="0"/>
      <w:sz w:val="24"/>
    </w:rPr>
  </w:style>
  <w:style w:type="paragraph" w:styleId="TableofAuthorities">
    <w:name w:val="table of authorities"/>
    <w:basedOn w:val="BodyText"/>
    <w:next w:val="Normal"/>
    <w:rsid w:val="00C165F8"/>
    <w:pPr>
      <w:widowControl w:val="0"/>
      <w:tabs>
        <w:tab w:val="right" w:pos="9360"/>
      </w:tabs>
      <w:spacing w:after="240"/>
      <w:ind w:left="475" w:hanging="475"/>
    </w:pPr>
    <w:rPr>
      <w:snapToGrid w:val="0"/>
      <w:szCs w:val="20"/>
    </w:rPr>
  </w:style>
  <w:style w:type="paragraph" w:styleId="TableofFigures">
    <w:name w:val="table of figures"/>
    <w:basedOn w:val="BodyText"/>
    <w:next w:val="Normal"/>
    <w:semiHidden/>
    <w:rsid w:val="00C165F8"/>
    <w:pPr>
      <w:widowControl w:val="0"/>
      <w:tabs>
        <w:tab w:val="right" w:pos="9360"/>
      </w:tabs>
      <w:spacing w:after="240"/>
      <w:ind w:left="475" w:hanging="475"/>
    </w:pPr>
    <w:rPr>
      <w:snapToGrid w:val="0"/>
      <w:szCs w:val="20"/>
    </w:rPr>
  </w:style>
  <w:style w:type="paragraph" w:styleId="TOC1">
    <w:name w:val="toc 1"/>
    <w:basedOn w:val="Normal"/>
    <w:next w:val="BodyText"/>
    <w:autoRedefine/>
    <w:semiHidden/>
    <w:rsid w:val="00C165F8"/>
    <w:pPr>
      <w:widowControl w:val="0"/>
      <w:tabs>
        <w:tab w:val="right" w:pos="9360"/>
      </w:tabs>
      <w:spacing w:line="480" w:lineRule="auto"/>
    </w:pPr>
    <w:rPr>
      <w:snapToGrid w:val="0"/>
      <w:szCs w:val="20"/>
    </w:rPr>
  </w:style>
  <w:style w:type="paragraph" w:styleId="TOC2">
    <w:name w:val="toc 2"/>
    <w:basedOn w:val="TOC1"/>
    <w:next w:val="BodyText"/>
    <w:autoRedefine/>
    <w:semiHidden/>
    <w:rsid w:val="00C165F8"/>
    <w:pPr>
      <w:ind w:left="245"/>
    </w:pPr>
  </w:style>
  <w:style w:type="paragraph" w:styleId="TOC3">
    <w:name w:val="toc 3"/>
    <w:basedOn w:val="TOC1"/>
    <w:next w:val="BodyText"/>
    <w:autoRedefine/>
    <w:semiHidden/>
    <w:rsid w:val="00C165F8"/>
    <w:pPr>
      <w:ind w:left="475"/>
    </w:pPr>
  </w:style>
  <w:style w:type="paragraph" w:styleId="TOC4">
    <w:name w:val="toc 4"/>
    <w:basedOn w:val="TOC1"/>
    <w:next w:val="BodyText"/>
    <w:autoRedefine/>
    <w:semiHidden/>
    <w:rsid w:val="00C165F8"/>
    <w:pPr>
      <w:ind w:left="720"/>
    </w:pPr>
  </w:style>
  <w:style w:type="paragraph" w:styleId="TOC5">
    <w:name w:val="toc 5"/>
    <w:basedOn w:val="TOC1"/>
    <w:next w:val="BodyText"/>
    <w:autoRedefine/>
    <w:semiHidden/>
    <w:rsid w:val="00C165F8"/>
    <w:pPr>
      <w:ind w:left="965"/>
    </w:pPr>
  </w:style>
  <w:style w:type="paragraph" w:styleId="TOC6">
    <w:name w:val="toc 6"/>
    <w:basedOn w:val="TOC1"/>
    <w:next w:val="BodyText"/>
    <w:autoRedefine/>
    <w:semiHidden/>
    <w:rsid w:val="00C165F8"/>
    <w:pPr>
      <w:ind w:left="1195"/>
    </w:pPr>
  </w:style>
  <w:style w:type="paragraph" w:styleId="TOC7">
    <w:name w:val="toc 7"/>
    <w:basedOn w:val="TOC1"/>
    <w:next w:val="BodyText"/>
    <w:autoRedefine/>
    <w:semiHidden/>
    <w:rsid w:val="00C165F8"/>
    <w:pPr>
      <w:ind w:left="1440"/>
    </w:pPr>
  </w:style>
  <w:style w:type="paragraph" w:styleId="TOC8">
    <w:name w:val="toc 8"/>
    <w:basedOn w:val="TOC1"/>
    <w:next w:val="BodyText"/>
    <w:autoRedefine/>
    <w:semiHidden/>
    <w:rsid w:val="00C165F8"/>
    <w:pPr>
      <w:ind w:left="1685"/>
    </w:pPr>
  </w:style>
  <w:style w:type="paragraph" w:styleId="TOC9">
    <w:name w:val="toc 9"/>
    <w:basedOn w:val="TOC1"/>
    <w:next w:val="BodyText"/>
    <w:autoRedefine/>
    <w:semiHidden/>
    <w:rsid w:val="00C165F8"/>
    <w:pPr>
      <w:ind w:left="1915"/>
    </w:pPr>
  </w:style>
  <w:style w:type="paragraph" w:styleId="Index1">
    <w:name w:val="index 1"/>
    <w:basedOn w:val="BodyText"/>
    <w:next w:val="BodyText"/>
    <w:autoRedefine/>
    <w:semiHidden/>
    <w:rsid w:val="00C165F8"/>
    <w:pPr>
      <w:widowControl w:val="0"/>
      <w:tabs>
        <w:tab w:val="right" w:pos="9360"/>
      </w:tabs>
      <w:spacing w:after="240"/>
      <w:ind w:left="202" w:hanging="202"/>
    </w:pPr>
    <w:rPr>
      <w:snapToGrid w:val="0"/>
      <w:szCs w:val="20"/>
    </w:rPr>
  </w:style>
  <w:style w:type="paragraph" w:styleId="Index2">
    <w:name w:val="index 2"/>
    <w:basedOn w:val="Index1"/>
    <w:next w:val="BodyText"/>
    <w:autoRedefine/>
    <w:semiHidden/>
    <w:rsid w:val="00C165F8"/>
    <w:pPr>
      <w:ind w:left="404"/>
    </w:pPr>
  </w:style>
  <w:style w:type="paragraph" w:styleId="Index3">
    <w:name w:val="index 3"/>
    <w:basedOn w:val="Index1"/>
    <w:next w:val="BodyText"/>
    <w:autoRedefine/>
    <w:semiHidden/>
    <w:rsid w:val="00C165F8"/>
    <w:pPr>
      <w:ind w:left="605"/>
    </w:pPr>
  </w:style>
  <w:style w:type="paragraph" w:styleId="Index4">
    <w:name w:val="index 4"/>
    <w:basedOn w:val="Index1"/>
    <w:next w:val="BodyText"/>
    <w:autoRedefine/>
    <w:semiHidden/>
    <w:rsid w:val="00C165F8"/>
    <w:pPr>
      <w:ind w:left="807"/>
    </w:pPr>
  </w:style>
  <w:style w:type="paragraph" w:styleId="Index5">
    <w:name w:val="index 5"/>
    <w:basedOn w:val="Index1"/>
    <w:next w:val="BodyText"/>
    <w:autoRedefine/>
    <w:semiHidden/>
    <w:rsid w:val="00C165F8"/>
    <w:pPr>
      <w:ind w:left="1008"/>
    </w:pPr>
  </w:style>
  <w:style w:type="paragraph" w:styleId="Index6">
    <w:name w:val="index 6"/>
    <w:basedOn w:val="Index1"/>
    <w:next w:val="BodyText"/>
    <w:autoRedefine/>
    <w:semiHidden/>
    <w:rsid w:val="00C165F8"/>
    <w:pPr>
      <w:ind w:left="1196"/>
    </w:pPr>
  </w:style>
  <w:style w:type="paragraph" w:styleId="Index7">
    <w:name w:val="index 7"/>
    <w:basedOn w:val="Index1"/>
    <w:next w:val="BodyText"/>
    <w:autoRedefine/>
    <w:semiHidden/>
    <w:rsid w:val="00C165F8"/>
    <w:pPr>
      <w:ind w:left="1397"/>
    </w:pPr>
  </w:style>
  <w:style w:type="paragraph" w:styleId="Index8">
    <w:name w:val="index 8"/>
    <w:basedOn w:val="Index1"/>
    <w:next w:val="BodyText"/>
    <w:autoRedefine/>
    <w:semiHidden/>
    <w:rsid w:val="00C165F8"/>
    <w:pPr>
      <w:ind w:left="1599"/>
    </w:pPr>
  </w:style>
  <w:style w:type="paragraph" w:styleId="Index9">
    <w:name w:val="index 9"/>
    <w:basedOn w:val="Index1"/>
    <w:next w:val="BodyText"/>
    <w:autoRedefine/>
    <w:semiHidden/>
    <w:rsid w:val="00C165F8"/>
    <w:pPr>
      <w:ind w:left="1800"/>
    </w:pPr>
  </w:style>
  <w:style w:type="paragraph" w:styleId="IndexHeading">
    <w:name w:val="index heading"/>
    <w:basedOn w:val="TOAHeading"/>
    <w:next w:val="Index1"/>
    <w:semiHidden/>
    <w:rsid w:val="00C165F8"/>
    <w:pPr>
      <w:keepNext/>
      <w:widowControl w:val="0"/>
      <w:spacing w:before="0" w:after="360"/>
    </w:pPr>
    <w:rPr>
      <w:rFonts w:ascii="Times New Roman" w:hAnsi="Times New Roman" w:cs="Times New Roman"/>
      <w:b w:val="0"/>
      <w:bCs w:val="0"/>
      <w:i/>
      <w:snapToGrid w:val="0"/>
      <w:kern w:val="28"/>
      <w:sz w:val="72"/>
      <w:szCs w:val="20"/>
    </w:rPr>
  </w:style>
  <w:style w:type="paragraph" w:styleId="EnvelopeReturn">
    <w:name w:val="envelope return"/>
    <w:basedOn w:val="Normal"/>
    <w:rsid w:val="00C165F8"/>
    <w:pPr>
      <w:widowControl w:val="0"/>
    </w:pPr>
    <w:rPr>
      <w:rFonts w:ascii="Arial" w:hAnsi="Arial"/>
      <w:snapToGrid w:val="0"/>
      <w:szCs w:val="20"/>
    </w:rPr>
  </w:style>
  <w:style w:type="paragraph" w:styleId="EndnoteText">
    <w:name w:val="endnote text"/>
    <w:basedOn w:val="BodyText"/>
    <w:link w:val="EndnoteTextChar"/>
    <w:semiHidden/>
    <w:rsid w:val="00C165F8"/>
    <w:pPr>
      <w:widowControl w:val="0"/>
      <w:spacing w:after="240"/>
    </w:pPr>
    <w:rPr>
      <w:snapToGrid w:val="0"/>
      <w:szCs w:val="20"/>
    </w:rPr>
  </w:style>
  <w:style w:type="character" w:customStyle="1" w:styleId="EndnoteTextChar">
    <w:name w:val="Endnote Text Char"/>
    <w:basedOn w:val="DefaultParagraphFont"/>
    <w:link w:val="EndnoteText"/>
    <w:semiHidden/>
    <w:rsid w:val="00C165F8"/>
    <w:rPr>
      <w:snapToGrid w:val="0"/>
      <w:sz w:val="24"/>
    </w:rPr>
  </w:style>
  <w:style w:type="paragraph" w:styleId="Closing">
    <w:name w:val="Closing"/>
    <w:basedOn w:val="BodyText"/>
    <w:next w:val="Signature"/>
    <w:link w:val="ClosingChar"/>
    <w:rsid w:val="00C165F8"/>
    <w:pPr>
      <w:widowControl w:val="0"/>
      <w:spacing w:after="860"/>
    </w:pPr>
    <w:rPr>
      <w:snapToGrid w:val="0"/>
      <w:szCs w:val="20"/>
    </w:rPr>
  </w:style>
  <w:style w:type="character" w:customStyle="1" w:styleId="ClosingChar">
    <w:name w:val="Closing Char"/>
    <w:basedOn w:val="DefaultParagraphFont"/>
    <w:link w:val="Closing"/>
    <w:rsid w:val="00C165F8"/>
    <w:rPr>
      <w:snapToGrid w:val="0"/>
      <w:sz w:val="24"/>
    </w:rPr>
  </w:style>
  <w:style w:type="character" w:styleId="EndnoteReference">
    <w:name w:val="endnote reference"/>
    <w:semiHidden/>
    <w:rsid w:val="00C165F8"/>
    <w:rPr>
      <w:position w:val="6"/>
      <w:sz w:val="20"/>
    </w:rPr>
  </w:style>
  <w:style w:type="character" w:styleId="LineNumber">
    <w:name w:val="line number"/>
    <w:rsid w:val="00C165F8"/>
    <w:rPr>
      <w:rFonts w:ascii="Arial" w:hAnsi="Arial"/>
      <w:sz w:val="16"/>
    </w:rPr>
  </w:style>
  <w:style w:type="paragraph" w:styleId="MessageHeader">
    <w:name w:val="Message Header"/>
    <w:basedOn w:val="BodyText"/>
    <w:link w:val="MessageHeaderChar"/>
    <w:rsid w:val="00C165F8"/>
    <w:pPr>
      <w:widowControl w:val="0"/>
      <w:spacing w:after="240"/>
      <w:ind w:left="1080" w:hanging="1080"/>
    </w:pPr>
    <w:rPr>
      <w:rFonts w:ascii="Arial" w:hAnsi="Arial"/>
      <w:b/>
      <w:snapToGrid w:val="0"/>
      <w:szCs w:val="20"/>
    </w:rPr>
  </w:style>
  <w:style w:type="character" w:customStyle="1" w:styleId="MessageHeaderChar">
    <w:name w:val="Message Header Char"/>
    <w:basedOn w:val="DefaultParagraphFont"/>
    <w:link w:val="MessageHeader"/>
    <w:rsid w:val="00C165F8"/>
    <w:rPr>
      <w:rFonts w:ascii="Arial" w:hAnsi="Arial"/>
      <w:b/>
      <w:snapToGrid w:val="0"/>
      <w:sz w:val="24"/>
    </w:rPr>
  </w:style>
  <w:style w:type="paragraph" w:styleId="Caption">
    <w:name w:val="caption"/>
    <w:basedOn w:val="BodyText"/>
    <w:next w:val="Normal"/>
    <w:qFormat/>
    <w:rsid w:val="00C165F8"/>
    <w:pPr>
      <w:keepLines/>
      <w:widowControl w:val="0"/>
      <w:spacing w:before="120"/>
    </w:pPr>
    <w:rPr>
      <w:rFonts w:ascii="Arial" w:hAnsi="Arial"/>
      <w:b/>
      <w:snapToGrid w:val="0"/>
      <w:sz w:val="20"/>
      <w:szCs w:val="20"/>
    </w:rPr>
  </w:style>
  <w:style w:type="character" w:customStyle="1" w:styleId="DocumentMapChar">
    <w:name w:val="Document Map Char"/>
    <w:basedOn w:val="DefaultParagraphFont"/>
    <w:link w:val="DocumentMap"/>
    <w:semiHidden/>
    <w:rsid w:val="00C165F8"/>
    <w:rPr>
      <w:rFonts w:ascii="Tahoma" w:hAnsi="Tahoma" w:cs="Tahoma"/>
      <w:shd w:val="clear" w:color="auto" w:fill="000080"/>
    </w:rPr>
  </w:style>
  <w:style w:type="paragraph" w:styleId="BlockText">
    <w:name w:val="Block Text"/>
    <w:basedOn w:val="Normal"/>
    <w:rsid w:val="00C165F8"/>
    <w:pPr>
      <w:ind w:left="360" w:right="-18" w:hanging="360"/>
      <w:jc w:val="both"/>
    </w:pPr>
    <w:rPr>
      <w:rFonts w:ascii="TimesRoman" w:hAnsi="TimesRoman"/>
      <w:snapToGrid w:val="0"/>
      <w:sz w:val="20"/>
      <w:szCs w:val="20"/>
    </w:rPr>
  </w:style>
  <w:style w:type="character" w:styleId="FollowedHyperlink">
    <w:name w:val="FollowedHyperlink"/>
    <w:rsid w:val="00C165F8"/>
    <w:rPr>
      <w:color w:val="800080"/>
      <w:u w:val="single"/>
    </w:rPr>
  </w:style>
  <w:style w:type="paragraph" w:styleId="BodyText3">
    <w:name w:val="Body Text 3"/>
    <w:basedOn w:val="Normal"/>
    <w:link w:val="BodyText3Char"/>
    <w:rsid w:val="00C165F8"/>
    <w:pPr>
      <w:widowControl w:val="0"/>
      <w:ind w:right="-11"/>
      <w:jc w:val="both"/>
    </w:pPr>
    <w:rPr>
      <w:snapToGrid w:val="0"/>
      <w:szCs w:val="20"/>
    </w:rPr>
  </w:style>
  <w:style w:type="character" w:customStyle="1" w:styleId="BodyText3Char">
    <w:name w:val="Body Text 3 Char"/>
    <w:basedOn w:val="DefaultParagraphFont"/>
    <w:link w:val="BodyText3"/>
    <w:rsid w:val="00C165F8"/>
    <w:rPr>
      <w:snapToGrid w:val="0"/>
      <w:sz w:val="24"/>
    </w:rPr>
  </w:style>
  <w:style w:type="paragraph" w:customStyle="1" w:styleId="BodyText21">
    <w:name w:val="Body Text 21"/>
    <w:basedOn w:val="Normal"/>
    <w:rsid w:val="00C165F8"/>
    <w:pPr>
      <w:widowControl w:val="0"/>
      <w:jc w:val="both"/>
    </w:pPr>
    <w:rPr>
      <w:rFonts w:ascii="TimesRoman" w:hAnsi="TimesRoman"/>
      <w:snapToGrid w:val="0"/>
      <w:sz w:val="20"/>
      <w:szCs w:val="20"/>
    </w:rPr>
  </w:style>
  <w:style w:type="paragraph" w:customStyle="1" w:styleId="xl28">
    <w:name w:val="xl28"/>
    <w:basedOn w:val="Normal"/>
    <w:rsid w:val="00C165F8"/>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C165F8"/>
    <w:pPr>
      <w:spacing w:before="100" w:beforeAutospacing="1" w:after="100" w:afterAutospacing="1"/>
    </w:pPr>
    <w:rPr>
      <w:rFonts w:ascii="TimesRomanBold" w:eastAsia="Arial Unicode MS" w:hAnsi="TimesRomanBold" w:cs="Arial Unicode MS"/>
    </w:rPr>
  </w:style>
  <w:style w:type="paragraph" w:customStyle="1" w:styleId="xl30">
    <w:name w:val="xl30"/>
    <w:basedOn w:val="Normal"/>
    <w:rsid w:val="00C165F8"/>
    <w:pPr>
      <w:pBdr>
        <w:bottom w:val="double" w:sz="6"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C165F8"/>
    <w:pPr>
      <w:spacing w:before="100" w:beforeAutospacing="1" w:after="100" w:afterAutospacing="1"/>
    </w:pPr>
    <w:rPr>
      <w:rFonts w:ascii="Arial Unicode MS" w:eastAsia="Arial Unicode MS" w:hAnsi="Arial Unicode MS" w:cs="Arial Unicode MS"/>
      <w:b/>
      <w:bCs/>
      <w:u w:val="single"/>
    </w:rPr>
  </w:style>
  <w:style w:type="paragraph" w:customStyle="1" w:styleId="xl24">
    <w:name w:val="xl24"/>
    <w:basedOn w:val="Normal"/>
    <w:rsid w:val="00C165F8"/>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C165F8"/>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C165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2">
    <w:name w:val="xl32"/>
    <w:basedOn w:val="Normal"/>
    <w:rsid w:val="00C165F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3">
    <w:name w:val="xl33"/>
    <w:basedOn w:val="Normal"/>
    <w:rsid w:val="00C165F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5">
    <w:name w:val="xl35"/>
    <w:basedOn w:val="Normal"/>
    <w:rsid w:val="00C165F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6">
    <w:name w:val="xl36"/>
    <w:basedOn w:val="Normal"/>
    <w:rsid w:val="00C165F8"/>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7">
    <w:name w:val="xl37"/>
    <w:basedOn w:val="Normal"/>
    <w:rsid w:val="00C165F8"/>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8">
    <w:name w:val="xl38"/>
    <w:basedOn w:val="Normal"/>
    <w:rsid w:val="00C165F8"/>
    <w:pPr>
      <w:pBdr>
        <w:top w:val="single" w:sz="4" w:space="0" w:color="auto"/>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9">
    <w:name w:val="xl39"/>
    <w:basedOn w:val="Normal"/>
    <w:rsid w:val="00C165F8"/>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0">
    <w:name w:val="xl40"/>
    <w:basedOn w:val="Normal"/>
    <w:rsid w:val="00C165F8"/>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1">
    <w:name w:val="xl41"/>
    <w:basedOn w:val="Normal"/>
    <w:rsid w:val="00C165F8"/>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2">
    <w:name w:val="xl42"/>
    <w:basedOn w:val="Normal"/>
    <w:rsid w:val="00C165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rPr>
  </w:style>
  <w:style w:type="paragraph" w:customStyle="1" w:styleId="xl43">
    <w:name w:val="xl43"/>
    <w:basedOn w:val="Normal"/>
    <w:rsid w:val="00C165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4">
    <w:name w:val="xl44"/>
    <w:basedOn w:val="Normal"/>
    <w:rsid w:val="00C165F8"/>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5">
    <w:name w:val="xl45"/>
    <w:basedOn w:val="Normal"/>
    <w:rsid w:val="00C165F8"/>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6">
    <w:name w:val="xl46"/>
    <w:basedOn w:val="Normal"/>
    <w:rsid w:val="00C165F8"/>
    <w:pPr>
      <w:pBdr>
        <w:top w:val="single" w:sz="4" w:space="0" w:color="auto"/>
        <w:lef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7">
    <w:name w:val="xl47"/>
    <w:basedOn w:val="Normal"/>
    <w:rsid w:val="00C165F8"/>
    <w:pPr>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8">
    <w:name w:val="xl48"/>
    <w:basedOn w:val="Normal"/>
    <w:rsid w:val="00C165F8"/>
    <w:pPr>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Normal"/>
    <w:rsid w:val="00C165F8"/>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50">
    <w:name w:val="xl50"/>
    <w:basedOn w:val="Normal"/>
    <w:rsid w:val="00C165F8"/>
    <w:pPr>
      <w:pBdr>
        <w:top w:val="single" w:sz="4" w:space="0" w:color="auto"/>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1">
    <w:name w:val="xl51"/>
    <w:basedOn w:val="Normal"/>
    <w:rsid w:val="00C165F8"/>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2">
    <w:name w:val="xl52"/>
    <w:basedOn w:val="Normal"/>
    <w:rsid w:val="00C165F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InsideAddress">
    <w:name w:val="Inside Address"/>
    <w:basedOn w:val="Normal"/>
    <w:rsid w:val="00C165F8"/>
    <w:pPr>
      <w:widowControl w:val="0"/>
    </w:pPr>
    <w:rPr>
      <w:snapToGrid w:val="0"/>
      <w:szCs w:val="20"/>
    </w:rPr>
  </w:style>
  <w:style w:type="paragraph" w:customStyle="1" w:styleId="ReferenceLine">
    <w:name w:val="Reference Line"/>
    <w:basedOn w:val="BodyText"/>
    <w:rsid w:val="00C165F8"/>
    <w:pPr>
      <w:widowControl w:val="0"/>
      <w:spacing w:after="240"/>
    </w:pPr>
    <w:rPr>
      <w:snapToGrid w:val="0"/>
      <w:szCs w:val="20"/>
    </w:rPr>
  </w:style>
  <w:style w:type="table" w:styleId="TableList3">
    <w:name w:val="Table List 3"/>
    <w:basedOn w:val="TableNormal"/>
    <w:rsid w:val="00C165F8"/>
    <w:pPr>
      <w:widowControl w:val="0"/>
    </w:pPr>
    <w:rPr>
      <w:lang w:val="sr-Latn-BA" w:eastAsia="sr-Latn-B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Classic1">
    <w:name w:val="Table Classic 1"/>
    <w:basedOn w:val="TableNormal"/>
    <w:rsid w:val="00C165F8"/>
    <w:pPr>
      <w:widowControl w:val="0"/>
    </w:pPr>
    <w:rPr>
      <w:lang w:val="sr-Latn-BA" w:eastAsia="sr-Latn-B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ekstovi">
    <w:name w:val="tekstovi"/>
    <w:basedOn w:val="Normal"/>
    <w:rsid w:val="00C165F8"/>
    <w:pPr>
      <w:spacing w:before="100" w:beforeAutospacing="1" w:after="100" w:afterAutospacing="1"/>
      <w:ind w:firstLine="567"/>
      <w:jc w:val="both"/>
    </w:pPr>
  </w:style>
  <w:style w:type="table" w:styleId="TableSimple2">
    <w:name w:val="Table Simple 2"/>
    <w:basedOn w:val="TableNormal"/>
    <w:rsid w:val="00C165F8"/>
    <w:pPr>
      <w:widowControl w:val="0"/>
    </w:pPr>
    <w:rPr>
      <w:lang w:val="sr-Latn-BA" w:eastAsia="sr-Latn-B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PlaceholderText">
    <w:name w:val="Placeholder Text"/>
    <w:basedOn w:val="DefaultParagraphFont"/>
    <w:uiPriority w:val="99"/>
    <w:semiHidden/>
    <w:rsid w:val="00C165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728852">
      <w:bodyDiv w:val="1"/>
      <w:marLeft w:val="0"/>
      <w:marRight w:val="0"/>
      <w:marTop w:val="0"/>
      <w:marBottom w:val="0"/>
      <w:divBdr>
        <w:top w:val="none" w:sz="0" w:space="0" w:color="auto"/>
        <w:left w:val="none" w:sz="0" w:space="0" w:color="auto"/>
        <w:bottom w:val="none" w:sz="0" w:space="0" w:color="auto"/>
        <w:right w:val="none" w:sz="0" w:space="0" w:color="auto"/>
      </w:divBdr>
    </w:div>
    <w:div w:id="46732765">
      <w:bodyDiv w:val="1"/>
      <w:marLeft w:val="0"/>
      <w:marRight w:val="0"/>
      <w:marTop w:val="0"/>
      <w:marBottom w:val="0"/>
      <w:divBdr>
        <w:top w:val="none" w:sz="0" w:space="0" w:color="auto"/>
        <w:left w:val="none" w:sz="0" w:space="0" w:color="auto"/>
        <w:bottom w:val="none" w:sz="0" w:space="0" w:color="auto"/>
        <w:right w:val="none" w:sz="0" w:space="0" w:color="auto"/>
      </w:divBdr>
    </w:div>
    <w:div w:id="96364820">
      <w:bodyDiv w:val="1"/>
      <w:marLeft w:val="0"/>
      <w:marRight w:val="0"/>
      <w:marTop w:val="0"/>
      <w:marBottom w:val="0"/>
      <w:divBdr>
        <w:top w:val="none" w:sz="0" w:space="0" w:color="auto"/>
        <w:left w:val="none" w:sz="0" w:space="0" w:color="auto"/>
        <w:bottom w:val="none" w:sz="0" w:space="0" w:color="auto"/>
        <w:right w:val="none" w:sz="0" w:space="0" w:color="auto"/>
      </w:divBdr>
    </w:div>
    <w:div w:id="99378744">
      <w:bodyDiv w:val="1"/>
      <w:marLeft w:val="0"/>
      <w:marRight w:val="0"/>
      <w:marTop w:val="0"/>
      <w:marBottom w:val="0"/>
      <w:divBdr>
        <w:top w:val="none" w:sz="0" w:space="0" w:color="auto"/>
        <w:left w:val="none" w:sz="0" w:space="0" w:color="auto"/>
        <w:bottom w:val="none" w:sz="0" w:space="0" w:color="auto"/>
        <w:right w:val="none" w:sz="0" w:space="0" w:color="auto"/>
      </w:divBdr>
    </w:div>
    <w:div w:id="220600140">
      <w:bodyDiv w:val="1"/>
      <w:marLeft w:val="0"/>
      <w:marRight w:val="0"/>
      <w:marTop w:val="0"/>
      <w:marBottom w:val="0"/>
      <w:divBdr>
        <w:top w:val="none" w:sz="0" w:space="0" w:color="auto"/>
        <w:left w:val="none" w:sz="0" w:space="0" w:color="auto"/>
        <w:bottom w:val="none" w:sz="0" w:space="0" w:color="auto"/>
        <w:right w:val="none" w:sz="0" w:space="0" w:color="auto"/>
      </w:divBdr>
    </w:div>
    <w:div w:id="324745018">
      <w:bodyDiv w:val="1"/>
      <w:marLeft w:val="0"/>
      <w:marRight w:val="0"/>
      <w:marTop w:val="0"/>
      <w:marBottom w:val="0"/>
      <w:divBdr>
        <w:top w:val="none" w:sz="0" w:space="0" w:color="auto"/>
        <w:left w:val="none" w:sz="0" w:space="0" w:color="auto"/>
        <w:bottom w:val="none" w:sz="0" w:space="0" w:color="auto"/>
        <w:right w:val="none" w:sz="0" w:space="0" w:color="auto"/>
      </w:divBdr>
    </w:div>
    <w:div w:id="341207403">
      <w:bodyDiv w:val="1"/>
      <w:marLeft w:val="0"/>
      <w:marRight w:val="0"/>
      <w:marTop w:val="0"/>
      <w:marBottom w:val="0"/>
      <w:divBdr>
        <w:top w:val="none" w:sz="0" w:space="0" w:color="auto"/>
        <w:left w:val="none" w:sz="0" w:space="0" w:color="auto"/>
        <w:bottom w:val="none" w:sz="0" w:space="0" w:color="auto"/>
        <w:right w:val="none" w:sz="0" w:space="0" w:color="auto"/>
      </w:divBdr>
    </w:div>
    <w:div w:id="557084456">
      <w:bodyDiv w:val="1"/>
      <w:marLeft w:val="0"/>
      <w:marRight w:val="0"/>
      <w:marTop w:val="0"/>
      <w:marBottom w:val="0"/>
      <w:divBdr>
        <w:top w:val="none" w:sz="0" w:space="0" w:color="auto"/>
        <w:left w:val="none" w:sz="0" w:space="0" w:color="auto"/>
        <w:bottom w:val="none" w:sz="0" w:space="0" w:color="auto"/>
        <w:right w:val="none" w:sz="0" w:space="0" w:color="auto"/>
      </w:divBdr>
    </w:div>
    <w:div w:id="568810211">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681206963">
      <w:bodyDiv w:val="1"/>
      <w:marLeft w:val="0"/>
      <w:marRight w:val="0"/>
      <w:marTop w:val="0"/>
      <w:marBottom w:val="0"/>
      <w:divBdr>
        <w:top w:val="none" w:sz="0" w:space="0" w:color="auto"/>
        <w:left w:val="none" w:sz="0" w:space="0" w:color="auto"/>
        <w:bottom w:val="none" w:sz="0" w:space="0" w:color="auto"/>
        <w:right w:val="none" w:sz="0" w:space="0" w:color="auto"/>
      </w:divBdr>
    </w:div>
    <w:div w:id="800728858">
      <w:bodyDiv w:val="1"/>
      <w:marLeft w:val="0"/>
      <w:marRight w:val="0"/>
      <w:marTop w:val="0"/>
      <w:marBottom w:val="0"/>
      <w:divBdr>
        <w:top w:val="none" w:sz="0" w:space="0" w:color="auto"/>
        <w:left w:val="none" w:sz="0" w:space="0" w:color="auto"/>
        <w:bottom w:val="none" w:sz="0" w:space="0" w:color="auto"/>
        <w:right w:val="none" w:sz="0" w:space="0" w:color="auto"/>
      </w:divBdr>
    </w:div>
    <w:div w:id="845364949">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920992102">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237983492">
      <w:bodyDiv w:val="1"/>
      <w:marLeft w:val="0"/>
      <w:marRight w:val="0"/>
      <w:marTop w:val="0"/>
      <w:marBottom w:val="0"/>
      <w:divBdr>
        <w:top w:val="none" w:sz="0" w:space="0" w:color="auto"/>
        <w:left w:val="none" w:sz="0" w:space="0" w:color="auto"/>
        <w:bottom w:val="none" w:sz="0" w:space="0" w:color="auto"/>
        <w:right w:val="none" w:sz="0" w:space="0" w:color="auto"/>
      </w:divBdr>
    </w:div>
    <w:div w:id="1239287919">
      <w:bodyDiv w:val="1"/>
      <w:marLeft w:val="0"/>
      <w:marRight w:val="0"/>
      <w:marTop w:val="0"/>
      <w:marBottom w:val="0"/>
      <w:divBdr>
        <w:top w:val="none" w:sz="0" w:space="0" w:color="auto"/>
        <w:left w:val="none" w:sz="0" w:space="0" w:color="auto"/>
        <w:bottom w:val="none" w:sz="0" w:space="0" w:color="auto"/>
        <w:right w:val="none" w:sz="0" w:space="0" w:color="auto"/>
      </w:divBdr>
    </w:div>
    <w:div w:id="1250122482">
      <w:bodyDiv w:val="1"/>
      <w:marLeft w:val="0"/>
      <w:marRight w:val="0"/>
      <w:marTop w:val="0"/>
      <w:marBottom w:val="0"/>
      <w:divBdr>
        <w:top w:val="none" w:sz="0" w:space="0" w:color="auto"/>
        <w:left w:val="none" w:sz="0" w:space="0" w:color="auto"/>
        <w:bottom w:val="none" w:sz="0" w:space="0" w:color="auto"/>
        <w:right w:val="none" w:sz="0" w:space="0" w:color="auto"/>
      </w:divBdr>
    </w:div>
    <w:div w:id="1306740202">
      <w:bodyDiv w:val="1"/>
      <w:marLeft w:val="0"/>
      <w:marRight w:val="0"/>
      <w:marTop w:val="0"/>
      <w:marBottom w:val="0"/>
      <w:divBdr>
        <w:top w:val="none" w:sz="0" w:space="0" w:color="auto"/>
        <w:left w:val="none" w:sz="0" w:space="0" w:color="auto"/>
        <w:bottom w:val="none" w:sz="0" w:space="0" w:color="auto"/>
        <w:right w:val="none" w:sz="0" w:space="0" w:color="auto"/>
      </w:divBdr>
    </w:div>
    <w:div w:id="1480726581">
      <w:bodyDiv w:val="1"/>
      <w:marLeft w:val="0"/>
      <w:marRight w:val="0"/>
      <w:marTop w:val="0"/>
      <w:marBottom w:val="0"/>
      <w:divBdr>
        <w:top w:val="none" w:sz="0" w:space="0" w:color="auto"/>
        <w:left w:val="none" w:sz="0" w:space="0" w:color="auto"/>
        <w:bottom w:val="none" w:sz="0" w:space="0" w:color="auto"/>
        <w:right w:val="none" w:sz="0" w:space="0" w:color="auto"/>
      </w:divBdr>
    </w:div>
    <w:div w:id="1513761934">
      <w:bodyDiv w:val="1"/>
      <w:marLeft w:val="0"/>
      <w:marRight w:val="0"/>
      <w:marTop w:val="0"/>
      <w:marBottom w:val="0"/>
      <w:divBdr>
        <w:top w:val="none" w:sz="0" w:space="0" w:color="auto"/>
        <w:left w:val="none" w:sz="0" w:space="0" w:color="auto"/>
        <w:bottom w:val="none" w:sz="0" w:space="0" w:color="auto"/>
        <w:right w:val="none" w:sz="0" w:space="0" w:color="auto"/>
      </w:divBdr>
    </w:div>
    <w:div w:id="1566184698">
      <w:bodyDiv w:val="1"/>
      <w:marLeft w:val="0"/>
      <w:marRight w:val="0"/>
      <w:marTop w:val="0"/>
      <w:marBottom w:val="0"/>
      <w:divBdr>
        <w:top w:val="none" w:sz="0" w:space="0" w:color="auto"/>
        <w:left w:val="none" w:sz="0" w:space="0" w:color="auto"/>
        <w:bottom w:val="none" w:sz="0" w:space="0" w:color="auto"/>
        <w:right w:val="none" w:sz="0" w:space="0" w:color="auto"/>
      </w:divBdr>
    </w:div>
    <w:div w:id="1587572009">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673949040">
      <w:bodyDiv w:val="1"/>
      <w:marLeft w:val="0"/>
      <w:marRight w:val="0"/>
      <w:marTop w:val="0"/>
      <w:marBottom w:val="0"/>
      <w:divBdr>
        <w:top w:val="none" w:sz="0" w:space="0" w:color="auto"/>
        <w:left w:val="none" w:sz="0" w:space="0" w:color="auto"/>
        <w:bottom w:val="none" w:sz="0" w:space="0" w:color="auto"/>
        <w:right w:val="none" w:sz="0" w:space="0" w:color="auto"/>
      </w:divBdr>
    </w:div>
    <w:div w:id="1709331050">
      <w:bodyDiv w:val="1"/>
      <w:marLeft w:val="0"/>
      <w:marRight w:val="0"/>
      <w:marTop w:val="0"/>
      <w:marBottom w:val="0"/>
      <w:divBdr>
        <w:top w:val="none" w:sz="0" w:space="0" w:color="auto"/>
        <w:left w:val="none" w:sz="0" w:space="0" w:color="auto"/>
        <w:bottom w:val="none" w:sz="0" w:space="0" w:color="auto"/>
        <w:right w:val="none" w:sz="0" w:space="0" w:color="auto"/>
      </w:divBdr>
    </w:div>
    <w:div w:id="1823623131">
      <w:bodyDiv w:val="1"/>
      <w:marLeft w:val="0"/>
      <w:marRight w:val="0"/>
      <w:marTop w:val="0"/>
      <w:marBottom w:val="0"/>
      <w:divBdr>
        <w:top w:val="none" w:sz="0" w:space="0" w:color="auto"/>
        <w:left w:val="none" w:sz="0" w:space="0" w:color="auto"/>
        <w:bottom w:val="none" w:sz="0" w:space="0" w:color="auto"/>
        <w:right w:val="none" w:sz="0" w:space="0" w:color="auto"/>
      </w:divBdr>
    </w:div>
    <w:div w:id="1972787121">
      <w:bodyDiv w:val="1"/>
      <w:marLeft w:val="0"/>
      <w:marRight w:val="0"/>
      <w:marTop w:val="0"/>
      <w:marBottom w:val="0"/>
      <w:divBdr>
        <w:top w:val="none" w:sz="0" w:space="0" w:color="auto"/>
        <w:left w:val="none" w:sz="0" w:space="0" w:color="auto"/>
        <w:bottom w:val="none" w:sz="0" w:space="0" w:color="auto"/>
        <w:right w:val="none" w:sz="0" w:space="0" w:color="auto"/>
      </w:divBdr>
    </w:div>
    <w:div w:id="2096393509">
      <w:bodyDiv w:val="1"/>
      <w:marLeft w:val="0"/>
      <w:marRight w:val="0"/>
      <w:marTop w:val="0"/>
      <w:marBottom w:val="0"/>
      <w:divBdr>
        <w:top w:val="none" w:sz="0" w:space="0" w:color="auto"/>
        <w:left w:val="none" w:sz="0" w:space="0" w:color="auto"/>
        <w:bottom w:val="none" w:sz="0" w:space="0" w:color="auto"/>
        <w:right w:val="none" w:sz="0" w:space="0" w:color="auto"/>
      </w:divBdr>
    </w:div>
    <w:div w:id="210071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1EED1-B745-4116-B3D4-57F3FD8D1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2877</TotalTime>
  <Pages>18</Pages>
  <Words>4945</Words>
  <Characters>30807</Characters>
  <Application>Microsoft Office Word</Application>
  <DocSecurity>0</DocSecurity>
  <Lines>256</Lines>
  <Paragraphs>71</Paragraphs>
  <ScaleCrop>false</ScaleCrop>
  <HeadingPairs>
    <vt:vector size="2" baseType="variant">
      <vt:variant>
        <vt:lpstr>Title</vt:lpstr>
      </vt:variant>
      <vt:variant>
        <vt:i4>1</vt:i4>
      </vt:variant>
    </vt:vector>
  </HeadingPairs>
  <TitlesOfParts>
    <vt:vector size="1" baseType="lpstr">
      <vt:lpstr>Napomene</vt:lpstr>
    </vt:vector>
  </TitlesOfParts>
  <Company/>
  <LinksUpToDate>false</LinksUpToDate>
  <CharactersWithSpaces>35681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creator>Darija</dc:creator>
  <cp:lastModifiedBy>Korisnik</cp:lastModifiedBy>
  <cp:revision>72</cp:revision>
  <cp:lastPrinted>2025-02-21T08:44:00Z</cp:lastPrinted>
  <dcterms:created xsi:type="dcterms:W3CDTF">2023-02-01T10:41:00Z</dcterms:created>
  <dcterms:modified xsi:type="dcterms:W3CDTF">2025-04-30T10:41:00Z</dcterms:modified>
</cp:coreProperties>
</file>